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left="-992.1259842519685" w:right="-113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spacing w:before="0" w:lineRule="auto"/>
        <w:ind w:left="0" w:right="4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hanging="1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spacing w:before="0" w:lineRule="auto"/>
        <w:ind w:left="0" w:right="4" w:firstLine="0"/>
        <w:jc w:val="center"/>
        <w:rPr>
          <w:sz w:val="96"/>
          <w:szCs w:val="96"/>
        </w:rPr>
      </w:pPr>
      <w:r w:rsidDel="00000000" w:rsidR="00000000" w:rsidRPr="00000000">
        <w:rPr>
          <w:sz w:val="96"/>
          <w:szCs w:val="96"/>
          <w:rtl w:val="0"/>
        </w:rPr>
        <w:t xml:space="preserve">Покана за обучение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36" w:lineRule="auto"/>
        <w:ind w:left="864" w:right="864" w:firstLine="0"/>
        <w:jc w:val="center"/>
        <w:rPr>
          <w:rFonts w:ascii="Roboto" w:cs="Roboto" w:eastAsia="Roboto" w:hAnsi="Roboto"/>
          <w:b w:val="0"/>
          <w:i w:val="1"/>
          <w:smallCaps w:val="0"/>
          <w:strike w:val="0"/>
          <w:color w:val="40404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1074419</wp:posOffset>
            </wp:positionH>
            <wp:positionV relativeFrom="paragraph">
              <wp:posOffset>290830</wp:posOffset>
            </wp:positionV>
            <wp:extent cx="3808243" cy="2141220"/>
            <wp:effectExtent b="0" l="0" r="0" t="0"/>
            <wp:wrapNone/>
            <wp:docPr id="1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08243" cy="21412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6" w:lineRule="auto"/>
        <w:ind w:left="864" w:right="864" w:firstLine="0"/>
        <w:jc w:val="center"/>
        <w:rPr>
          <w:rFonts w:ascii="Comfortaa" w:cs="Comfortaa" w:eastAsia="Comfortaa" w:hAnsi="Comfortaa"/>
          <w:b w:val="0"/>
          <w:i w:val="1"/>
          <w:smallCaps w:val="0"/>
          <w:strike w:val="0"/>
          <w:color w:val="ff006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6" w:lineRule="auto"/>
        <w:ind w:left="864" w:right="864" w:firstLine="0"/>
        <w:jc w:val="center"/>
        <w:rPr>
          <w:rFonts w:ascii="Comfortaa" w:cs="Comfortaa" w:eastAsia="Comfortaa" w:hAnsi="Comfortaa"/>
          <w:b w:val="0"/>
          <w:i w:val="1"/>
          <w:smallCaps w:val="0"/>
          <w:strike w:val="0"/>
          <w:color w:val="ff006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6" w:lineRule="auto"/>
        <w:ind w:left="864" w:right="864" w:firstLine="0"/>
        <w:jc w:val="center"/>
        <w:rPr>
          <w:rFonts w:ascii="Comfortaa" w:cs="Comfortaa" w:eastAsia="Comfortaa" w:hAnsi="Comfortaa"/>
          <w:b w:val="0"/>
          <w:i w:val="1"/>
          <w:smallCaps w:val="0"/>
          <w:strike w:val="0"/>
          <w:color w:val="ff006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6" w:lineRule="auto"/>
        <w:ind w:left="864" w:right="864" w:firstLine="0"/>
        <w:jc w:val="center"/>
        <w:rPr>
          <w:rFonts w:ascii="Comfortaa" w:cs="Comfortaa" w:eastAsia="Comfortaa" w:hAnsi="Comfortaa"/>
          <w:b w:val="0"/>
          <w:i w:val="1"/>
          <w:smallCaps w:val="0"/>
          <w:strike w:val="0"/>
          <w:color w:val="ff006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6" w:lineRule="auto"/>
        <w:ind w:left="864" w:right="864" w:firstLine="0"/>
        <w:jc w:val="center"/>
        <w:rPr>
          <w:rFonts w:ascii="Comfortaa" w:cs="Comfortaa" w:eastAsia="Comfortaa" w:hAnsi="Comfortaa"/>
          <w:b w:val="0"/>
          <w:i w:val="1"/>
          <w:smallCaps w:val="0"/>
          <w:strike w:val="0"/>
          <w:color w:val="ff006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Rule="auto"/>
        <w:ind w:hanging="1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Rule="auto"/>
        <w:ind w:hanging="1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6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6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6" w:lineRule="auto"/>
        <w:ind w:left="720" w:right="864" w:firstLine="0"/>
        <w:jc w:val="center"/>
        <w:rPr>
          <w:rFonts w:ascii="Comfortaa" w:cs="Comfortaa" w:eastAsia="Comfortaa" w:hAnsi="Comfortaa"/>
          <w:b w:val="0"/>
          <w:i w:val="1"/>
          <w:smallCaps w:val="0"/>
          <w:strike w:val="0"/>
          <w:color w:val="ff006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mfortaa" w:cs="Comfortaa" w:eastAsia="Comfortaa" w:hAnsi="Comfortaa"/>
          <w:i w:val="1"/>
          <w:color w:val="ff0066"/>
          <w:rtl w:val="0"/>
        </w:rPr>
        <w:t xml:space="preserve">„Даване на възможност на преподавателите да осъзнаят реалните предизвикателства, пред които са изправени ЛГБТИ+ обучаващите се, и насочване на преподавателите към поставяне на лични учебни цели за подобряване на приобщаването.“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Rule="auto"/>
        <w:ind w:hanging="17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Rule="auto"/>
        <w:ind w:hanging="1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0" w:lineRule="auto"/>
        <w:ind w:hanging="1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Rule="auto"/>
        <w:ind w:hanging="17"/>
        <w:jc w:val="both"/>
        <w:rPr/>
      </w:pPr>
      <w:r w:rsidDel="00000000" w:rsidR="00000000" w:rsidRPr="00000000">
        <w:rPr>
          <w:rtl w:val="0"/>
        </w:rPr>
        <w:t xml:space="preserve">Целта на този инструмент е да предостави пример за покана за информиране и насърчаване на потенциални участници да присъстват на конкретно обучение или семинар. Той има за цел да предостави информация за темата, целите и целевата аудитория, като се подчертават ползите и резултатите от присъствието.  </w:t>
      </w:r>
    </w:p>
    <w:p w:rsidR="00000000" w:rsidDel="00000000" w:rsidP="00000000" w:rsidRDefault="00000000" w:rsidRPr="00000000" w14:paraId="00000014">
      <w:pPr>
        <w:spacing w:after="0" w:before="0" w:line="278.0000000000000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0" w:line="240" w:lineRule="auto"/>
        <w:ind w:left="-992.1259842519685" w:right="-11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="278.0000000000000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="278.0000000000000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2009775</wp:posOffset>
            </wp:positionH>
            <wp:positionV relativeFrom="paragraph">
              <wp:posOffset>290512</wp:posOffset>
            </wp:positionV>
            <wp:extent cx="1143000" cy="400050"/>
            <wp:effectExtent b="0" l="0" r="0" t="0"/>
            <wp:wrapSquare wrapText="bothSides" distB="114300" distT="114300" distL="114300" distR="114300"/>
            <wp:docPr id="1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00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-695322</wp:posOffset>
            </wp:positionH>
            <wp:positionV relativeFrom="paragraph">
              <wp:posOffset>228600</wp:posOffset>
            </wp:positionV>
            <wp:extent cx="2495550" cy="523875"/>
            <wp:effectExtent b="0" l="0" r="0" t="0"/>
            <wp:wrapNone/>
            <wp:docPr id="1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2442" l="0" r="0" t="2442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5238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8">
      <w:pPr>
        <w:spacing w:after="0" w:before="0" w:line="278.0000000000000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="259" w:lineRule="auto"/>
        <w:ind w:left="0" w:firstLine="0"/>
        <w:jc w:val="left"/>
        <w:rPr>
          <w:rFonts w:ascii="Calibri" w:cs="Calibri" w:eastAsia="Calibri" w:hAnsi="Calibri"/>
          <w:b w:val="1"/>
          <w:color w:val="2e75b5"/>
        </w:rPr>
      </w:pPr>
      <w:r w:rsidDel="00000000" w:rsidR="00000000" w:rsidRPr="00000000">
        <w:rPr>
          <w:rFonts w:ascii="Calibri" w:cs="Calibri" w:eastAsia="Calibri" w:hAnsi="Calibri"/>
          <w:b w:val="1"/>
          <w:color w:val="2e75b5"/>
          <w:rtl w:val="0"/>
        </w:rPr>
        <w:t xml:space="preserve">Насърчаване на приобщаването на възрастни ЛГБТИ+ обучаващи</w:t>
      </w:r>
    </w:p>
    <w:p w:rsidR="00000000" w:rsidDel="00000000" w:rsidP="00000000" w:rsidRDefault="00000000" w:rsidRPr="00000000" w14:paraId="0000001A">
      <w:pPr>
        <w:spacing w:after="0" w:before="0" w:line="259" w:lineRule="auto"/>
        <w:ind w:left="0" w:firstLine="0"/>
        <w:jc w:val="both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С удоволствие ви каним на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семинар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който представя практически инструменти и персонализирани учебни подходи за насърчаване на приобщаването на ЛГБТИ+ обучаващи се в образователните институции.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0" w:line="259" w:lineRule="auto"/>
        <w:ind w:left="0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73763"/>
          <w:rtl w:val="0"/>
        </w:rPr>
        <w:t xml:space="preserve">За кого е предназаначен?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За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преподаватели и обучители в сферата на професионалното образование и обучението за възрастни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както и за професионалисти в обучителни институции, които са ангажирани с насърчаването на приобщаването.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1c4587"/>
          <w:rtl w:val="0"/>
        </w:rPr>
        <w:t xml:space="preserve">Защо да участвате?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За да придобиете инструменти, ресурси и стратегии за създаване на по-приобщаваща среда за ЛГБТИ+ обучаващи се.</w:t>
      </w:r>
    </w:p>
    <w:p w:rsidR="00000000" w:rsidDel="00000000" w:rsidP="00000000" w:rsidRDefault="00000000" w:rsidRPr="00000000" w14:paraId="0000001C">
      <w:pPr>
        <w:spacing w:after="0" w:before="0" w:line="259" w:lineRule="auto"/>
        <w:ind w:left="0" w:firstLine="0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Какво ще получите?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before="0" w:line="259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Ще се запознаете с Интерактивния инструмент за осведоменост по ЛГБТИ+ теми, за да станете обучител по многообразие.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before="0" w:line="259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Ще се научите да използвате Инструментариума на посланика на многообразието за подобряване на комуникацията, провеждане на обучения и разработване на приобщаващи политики.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before="0" w:line="259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Ще получите вдъхновение и мотивация да насърчавате приобщаването в своята институция или сред колегите си.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before="0" w:line="259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Ще получите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сертификат за участие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който удостоверява Вашия ангажимент и усилия.</w:t>
      </w:r>
    </w:p>
    <w:p w:rsidR="00000000" w:rsidDel="00000000" w:rsidP="00000000" w:rsidRDefault="00000000" w:rsidRPr="00000000" w14:paraId="00000021">
      <w:pPr>
        <w:spacing w:after="0" w:before="0" w:line="259" w:lineRule="auto"/>
        <w:ind w:left="0" w:firstLine="0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Детайли на събитието: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before="0" w:line="259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Дата: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................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before="0" w:line="259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Час: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................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before="0" w:line="259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Място: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................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before="0" w:line="259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Осигурени са закуска и кафе.</w:t>
      </w:r>
    </w:p>
    <w:p w:rsidR="00000000" w:rsidDel="00000000" w:rsidP="00000000" w:rsidRDefault="00000000" w:rsidRPr="00000000" w14:paraId="00000026">
      <w:pPr>
        <w:spacing w:after="0" w:before="0" w:line="259" w:lineRule="auto"/>
        <w:ind w:left="0" w:firstLine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Ако имате специални изисквания или нужди, посочете ги при регистрацията.</w:t>
      </w:r>
    </w:p>
    <w:p w:rsidR="00000000" w:rsidDel="00000000" w:rsidP="00000000" w:rsidRDefault="00000000" w:rsidRPr="00000000" w14:paraId="00000027">
      <w:pPr>
        <w:spacing w:after="0" w:before="0" w:line="259" w:lineRule="auto"/>
        <w:ind w:left="0" w:firstLine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За UNIQUE:</w:t>
        <w:br w:type="textWrapping"/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Този проект, съфинансиран от Европейския съюз и подкрепен от партньори от Германия, Франция, България, Италия и Испания, има за цел да подобри академичния успех на ЛГБТИ+ обучаващи се чрез повишаване на осведомеността сред преподавателите и насърчаване на приобщаващи практики.</w:t>
      </w:r>
    </w:p>
    <w:p w:rsidR="00000000" w:rsidDel="00000000" w:rsidP="00000000" w:rsidRDefault="00000000" w:rsidRPr="00000000" w14:paraId="00000028">
      <w:pPr>
        <w:spacing w:after="0" w:before="0" w:line="259" w:lineRule="auto"/>
        <w:ind w:left="0" w:firstLine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Регистрирайте се тук: </w:t>
      </w:r>
      <w:hyperlink r:id="rId10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https://forms.gle/f4gqjWAk85xwBSdc6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color w:val="e06666"/>
          <w:rtl w:val="0"/>
        </w:rPr>
        <w:t xml:space="preserve">(създайте своя собствена регистрационна форма въз основа на този образец)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0" w:line="259" w:lineRule="auto"/>
        <w:ind w:left="0" w:firstLine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Или сканирайте QR кода по-долу, за да посетите нашия уебсайт и да научите повече: </w:t>
      </w:r>
    </w:p>
    <w:p w:rsidR="00000000" w:rsidDel="00000000" w:rsidP="00000000" w:rsidRDefault="00000000" w:rsidRPr="00000000" w14:paraId="0000002A">
      <w:pPr>
        <w:spacing w:after="0" w:before="0" w:line="259" w:lineRule="auto"/>
        <w:ind w:left="2880" w:firstLine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</w:rPr>
        <w:drawing>
          <wp:inline distB="114300" distT="114300" distL="114300" distR="114300">
            <wp:extent cx="708539" cy="714347"/>
            <wp:effectExtent b="0" l="0" r="0" t="0"/>
            <wp:docPr id="12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8539" cy="71434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40" w:before="0" w:line="259" w:lineRule="auto"/>
        <w:ind w:left="0" w:firstLine="0"/>
        <w:rPr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Очакваме ви с нетърпение! Програмата ще бъде изпратена след регистрация.</w:t>
        <w:br w:type="textWrapping"/>
      </w:r>
      <w:r w:rsidDel="00000000" w:rsidR="00000000" w:rsidRPr="00000000">
        <w:rPr>
          <w:rtl w:val="0"/>
        </w:rPr>
      </w:r>
    </w:p>
    <w:sectPr>
      <w:headerReference r:id="rId12" w:type="first"/>
      <w:footerReference r:id="rId13" w:type="default"/>
      <w:footerReference r:id="rId14" w:type="first"/>
      <w:pgSz w:h="15840" w:w="12240" w:orient="portrait"/>
      <w:pgMar w:bottom="1080" w:top="1080" w:left="1440" w:right="1440" w:header="0" w:footer="134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Calibri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omfortaa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hanging="17"/>
      <w:rPr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-915664</wp:posOffset>
          </wp:positionH>
          <wp:positionV relativeFrom="paragraph">
            <wp:posOffset>85090</wp:posOffset>
          </wp:positionV>
          <wp:extent cx="7786370" cy="1060450"/>
          <wp:effectExtent b="0" l="0" r="0" t="0"/>
          <wp:wrapNone/>
          <wp:docPr descr="Fußzeilengrafik" id="13" name="image3.png"/>
          <a:graphic>
            <a:graphicData uri="http://schemas.openxmlformats.org/drawingml/2006/picture">
              <pic:pic>
                <pic:nvPicPr>
                  <pic:cNvPr descr="Fußzeilengrafik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370" cy="10604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-698496</wp:posOffset>
          </wp:positionH>
          <wp:positionV relativeFrom="paragraph">
            <wp:posOffset>20320</wp:posOffset>
          </wp:positionV>
          <wp:extent cx="1667882" cy="937782"/>
          <wp:effectExtent b="0" l="0" r="0" t="0"/>
          <wp:wrapNone/>
          <wp:docPr descr="A rainbow colored circle on a black background&#10;&#10;Description automatically generated" id="14" name="image5.png"/>
          <a:graphic>
            <a:graphicData uri="http://schemas.openxmlformats.org/drawingml/2006/picture">
              <pic:pic>
                <pic:nvPicPr>
                  <pic:cNvPr descr="A rainbow colored circle on a black background&#10;&#10;Description automatically generated" id="0" name="image5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67882" cy="937782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line="240" w:lineRule="auto"/>
      <w:ind w:left="-992.1259842519685" w:right="-1130" w:firstLine="0"/>
      <w:jc w:val="right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-925189</wp:posOffset>
          </wp:positionH>
          <wp:positionV relativeFrom="paragraph">
            <wp:posOffset>366395</wp:posOffset>
          </wp:positionV>
          <wp:extent cx="7785735" cy="801370"/>
          <wp:effectExtent b="0" l="0" r="0" t="0"/>
          <wp:wrapNone/>
          <wp:docPr descr="Fußzeilengrafik" id="11" name="image3.png"/>
          <a:graphic>
            <a:graphicData uri="http://schemas.openxmlformats.org/drawingml/2006/picture">
              <pic:pic>
                <pic:nvPicPr>
                  <pic:cNvPr descr="Fußzeilengrafik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5735" cy="80137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-761999</wp:posOffset>
              </wp:positionH>
              <wp:positionV relativeFrom="paragraph">
                <wp:posOffset>299720</wp:posOffset>
              </wp:positionV>
              <wp:extent cx="5486400" cy="566057"/>
              <wp:effectExtent b="0" l="0" r="0" t="0"/>
              <wp:wrapSquare wrapText="bothSides" distB="45720" distT="45720" distL="114300" distR="114300"/>
              <wp:docPr id="9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953320" y="3543780"/>
                        <a:ext cx="4785360" cy="472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-17.000000476837158" w:right="0" w:firstLine="-51.000003814697266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Roboto" w:cs="Roboto" w:eastAsia="Roboto" w:hAnsi="Roboto"/>
                              <w:b w:val="0"/>
                              <w:i w:val="0"/>
                              <w:smallCaps w:val="0"/>
                              <w:strike w:val="0"/>
                              <w:color w:val="666666"/>
                              <w:sz w:val="14"/>
                              <w:vertAlign w:val="baseline"/>
                            </w:rPr>
                            <w:t xml:space="preserve">Финансирано от Европейския съюз. Изразените възгледи и мнения обаче принадлежат изцяло на техния(ите) автор(и) и не отразяват непременно възгледите и мненията на Европейския съюз или на Европейската изпълнителна агенция за образование и култура (EACEA). За тях не носи отговорност нито Европейският съюз, нито EACEA.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-761999</wp:posOffset>
              </wp:positionH>
              <wp:positionV relativeFrom="paragraph">
                <wp:posOffset>299720</wp:posOffset>
              </wp:positionV>
              <wp:extent cx="5486400" cy="566057"/>
              <wp:effectExtent b="0" l="0" r="0" t="0"/>
              <wp:wrapSquare wrapText="bothSides" distB="45720" distT="45720" distL="114300" distR="114300"/>
              <wp:docPr id="9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86400" cy="56605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after="0" w:line="240" w:lineRule="auto"/>
      <w:ind w:left="3826.7716535433065" w:right="-1130" w:firstLine="0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4579620</wp:posOffset>
          </wp:positionH>
          <wp:positionV relativeFrom="paragraph">
            <wp:posOffset>-68575</wp:posOffset>
          </wp:positionV>
          <wp:extent cx="2280920" cy="2280920"/>
          <wp:effectExtent b="0" l="0" r="0" t="0"/>
          <wp:wrapNone/>
          <wp:docPr descr="Eckgrafik" id="10" name="image1.png"/>
          <a:graphic>
            <a:graphicData uri="http://schemas.openxmlformats.org/drawingml/2006/picture">
              <pic:pic>
                <pic:nvPicPr>
                  <pic:cNvPr descr="Eckgrafik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80920" cy="22809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D">
    <w:pPr>
      <w:spacing w:after="0" w:before="0" w:line="240" w:lineRule="auto"/>
      <w:ind w:left="-992.1259842519685" w:right="-1130" w:firstLine="0"/>
      <w:jc w:val="left"/>
      <w:rPr>
        <w:color w:val="000000"/>
      </w:rPr>
    </w:pPr>
    <w:sdt>
      <w:sdtPr>
        <w:tag w:val="goog_rdk_0"/>
      </w:sdtPr>
      <w:sdtContent>
        <w:r w:rsidDel="00000000" w:rsidR="00000000" w:rsidRPr="00000000">
          <w:rPr>
            <w:rFonts w:ascii="Arial" w:cs="Arial" w:eastAsia="Arial" w:hAnsi="Arial"/>
            <w:color w:val="000000"/>
            <w:rtl w:val="0"/>
          </w:rPr>
          <w:t xml:space="preserve">“UNIQUE” - Проект по програма „Еразъм+“ №: 2023-1-DE02-KA220-000155982</w:t>
        </w:r>
      </w:sdtContent>
    </w:sdt>
  </w:p>
  <w:p w:rsidR="00000000" w:rsidDel="00000000" w:rsidP="00000000" w:rsidRDefault="00000000" w:rsidRPr="00000000" w14:paraId="000000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0" w:lineRule="auto"/>
      <w:ind w:hanging="17"/>
      <w:rPr/>
    </w:pPr>
    <w:r w:rsidDel="00000000" w:rsidR="00000000" w:rsidRPr="00000000">
      <w:rPr>
        <w:rtl w:val="0"/>
      </w:rPr>
      <w:t xml:space="preserve">                                             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oboto" w:cs="Roboto" w:eastAsia="Roboto" w:hAnsi="Roboto"/>
        <w:color w:val="666666"/>
        <w:sz w:val="22"/>
        <w:szCs w:val="22"/>
        <w:lang w:val="bg-BG"/>
      </w:rPr>
    </w:rPrDefault>
    <w:pPrDefault>
      <w:pPr>
        <w:spacing w:before="200" w:line="336" w:lineRule="auto"/>
        <w:ind w:left="-17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480" w:line="240" w:lineRule="auto"/>
    </w:pPr>
    <w:rPr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spacing w:before="320" w:line="240" w:lineRule="auto"/>
      <w:ind w:left="720" w:hanging="360"/>
    </w:pPr>
    <w:rPr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spacing w:line="240" w:lineRule="auto"/>
    </w:pPr>
    <w:rPr>
      <w:b w:val="1"/>
      <w:color w:val="e01b84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0" w:lineRule="auto"/>
    </w:pPr>
    <w:rPr>
      <w:b w:val="1"/>
      <w:color w:val="6d64e8"/>
      <w:sz w:val="40"/>
      <w:szCs w:val="40"/>
    </w:rPr>
  </w:style>
  <w:style w:type="paragraph" w:styleId="Heading5">
    <w:name w:val="heading 5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</w:rPr>
  </w:style>
  <w:style w:type="paragraph" w:styleId="Heading6">
    <w:name w:val="heading 6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  <w:i w:val="1"/>
    </w:rPr>
  </w:style>
  <w:style w:type="paragraph" w:styleId="Title">
    <w:name w:val="Title"/>
    <w:basedOn w:val="Normal"/>
    <w:next w:val="Normal"/>
    <w:pPr>
      <w:spacing w:before="400" w:line="240" w:lineRule="auto"/>
    </w:pPr>
    <w:rPr>
      <w:color w:val="283592"/>
      <w:sz w:val="68"/>
      <w:szCs w:val="6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480" w:line="240" w:lineRule="auto"/>
    </w:pPr>
    <w:rPr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spacing w:before="320" w:line="240" w:lineRule="auto"/>
      <w:ind w:left="720" w:hanging="360"/>
    </w:pPr>
    <w:rPr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spacing w:line="240" w:lineRule="auto"/>
    </w:pPr>
    <w:rPr>
      <w:b w:val="1"/>
      <w:color w:val="e01b84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0" w:lineRule="auto"/>
    </w:pPr>
    <w:rPr>
      <w:b w:val="1"/>
      <w:color w:val="6d64e8"/>
      <w:sz w:val="40"/>
      <w:szCs w:val="40"/>
    </w:rPr>
  </w:style>
  <w:style w:type="paragraph" w:styleId="Heading5">
    <w:name w:val="heading 5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</w:rPr>
  </w:style>
  <w:style w:type="paragraph" w:styleId="Heading6">
    <w:name w:val="heading 6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  <w:i w:val="1"/>
    </w:rPr>
  </w:style>
  <w:style w:type="paragraph" w:styleId="Title">
    <w:name w:val="Title"/>
    <w:basedOn w:val="Normal"/>
    <w:next w:val="Normal"/>
    <w:pPr>
      <w:spacing w:before="400" w:line="240" w:lineRule="auto"/>
    </w:pPr>
    <w:rPr>
      <w:color w:val="283592"/>
      <w:sz w:val="68"/>
      <w:szCs w:val="68"/>
    </w:rPr>
  </w:style>
  <w:style w:type="paragraph" w:styleId="Subtitle">
    <w:name w:val="Subtitle"/>
    <w:basedOn w:val="Normal"/>
    <w:next w:val="Normal"/>
    <w:pPr/>
    <w:rPr>
      <w:color w:val="e01b84"/>
    </w:rPr>
  </w:style>
  <w:style w:type="paragraph" w:styleId="Subtitle">
    <w:name w:val="Subtitle"/>
    <w:basedOn w:val="Normal"/>
    <w:next w:val="Normal"/>
    <w:pPr/>
    <w:rPr>
      <w:color w:val="e01b84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jpg"/><Relationship Id="rId10" Type="http://schemas.openxmlformats.org/officeDocument/2006/relationships/hyperlink" Target="https://forms.gle/f4gqjWAk85xwBSdc6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Comfortaa-regular.ttf"/><Relationship Id="rId6" Type="http://schemas.openxmlformats.org/officeDocument/2006/relationships/font" Target="fonts/Comforta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5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7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9WFgHz3NNqlotkoFuDUmaDvPtQ==">CgMxLjAaEgoBMBINCgsIB0IHEgVBcmlhbDgAciExWHNnUUtVMGZlTTA1ZGVmMFYtZlhfRjI4WjZaeFhkcEw=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