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keepNext w:val="0"/>
        <w:keepLines w:val="0"/>
        <w:spacing w:after="0" w:before="0" w:lineRule="auto"/>
        <w:ind w:right="4"/>
        <w:jc w:val="left"/>
        <w:rPr>
          <w:rFonts w:ascii="Roboto" w:cs="Roboto" w:eastAsia="Roboto" w:hAnsi="Roboto"/>
          <w:b w:val="0"/>
          <w:color w:val="283592"/>
          <w:sz w:val="68"/>
          <w:szCs w:val="6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00" w:line="336" w:lineRule="auto"/>
        <w:ind w:left="-17" w:firstLine="0"/>
        <w:rPr>
          <w:rFonts w:ascii="Roboto" w:cs="Roboto" w:eastAsia="Roboto" w:hAnsi="Roboto"/>
          <w:color w:val="6666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keepNext w:val="0"/>
        <w:keepLines w:val="0"/>
        <w:spacing w:after="0" w:before="0" w:lineRule="auto"/>
        <w:ind w:right="4"/>
        <w:jc w:val="center"/>
        <w:rPr>
          <w:rFonts w:ascii="Roboto" w:cs="Roboto" w:eastAsia="Roboto" w:hAnsi="Roboto"/>
          <w:b w:val="0"/>
          <w:color w:val="283592"/>
          <w:sz w:val="94"/>
          <w:szCs w:val="94"/>
        </w:rPr>
      </w:pPr>
      <w:r w:rsidDel="00000000" w:rsidR="00000000" w:rsidRPr="00000000">
        <w:rPr>
          <w:rFonts w:ascii="Roboto" w:cs="Roboto" w:eastAsia="Roboto" w:hAnsi="Roboto"/>
          <w:b w:val="0"/>
          <w:color w:val="283592"/>
          <w:sz w:val="94"/>
          <w:szCs w:val="94"/>
          <w:rtl w:val="0"/>
        </w:rPr>
        <w:t xml:space="preserve">Esempio di comunicato stampa</w:t>
      </w:r>
    </w:p>
    <w:p w:rsidR="00000000" w:rsidDel="00000000" w:rsidP="00000000" w:rsidRDefault="00000000" w:rsidRPr="00000000" w14:paraId="00000006">
      <w:pPr>
        <w:spacing w:before="200" w:line="336" w:lineRule="auto"/>
        <w:ind w:left="864" w:right="864" w:firstLine="0"/>
        <w:jc w:val="center"/>
        <w:rPr>
          <w:rFonts w:ascii="Roboto" w:cs="Roboto" w:eastAsia="Roboto" w:hAnsi="Roboto"/>
          <w:i w:val="1"/>
          <w:color w:val="40404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1074419</wp:posOffset>
            </wp:positionH>
            <wp:positionV relativeFrom="paragraph">
              <wp:posOffset>290830</wp:posOffset>
            </wp:positionV>
            <wp:extent cx="3808243" cy="2141220"/>
            <wp:effectExtent b="0" l="0" r="0" t="0"/>
            <wp:wrapNone/>
            <wp:docPr id="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8243" cy="21412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spacing w:line="336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36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36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36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="336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00" w:line="336" w:lineRule="auto"/>
        <w:ind w:left="-17" w:firstLine="0"/>
        <w:rPr>
          <w:rFonts w:ascii="Roboto" w:cs="Roboto" w:eastAsia="Roboto" w:hAnsi="Roboto"/>
          <w:color w:val="6666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200" w:line="336" w:lineRule="auto"/>
        <w:ind w:left="-17" w:firstLine="0"/>
        <w:rPr>
          <w:rFonts w:ascii="Roboto" w:cs="Roboto" w:eastAsia="Roboto" w:hAnsi="Roboto"/>
          <w:color w:val="6666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36" w:lineRule="auto"/>
        <w:ind w:left="-17" w:firstLine="0"/>
        <w:rPr>
          <w:rFonts w:ascii="Roboto" w:cs="Roboto" w:eastAsia="Roboto" w:hAnsi="Roboto"/>
          <w:color w:val="6666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78.00000000000006" w:lineRule="auto"/>
        <w:ind w:hanging="17"/>
        <w:jc w:val="center"/>
        <w:rPr>
          <w:rFonts w:ascii="Comfortaa" w:cs="Comfortaa" w:eastAsia="Comfortaa" w:hAnsi="Comfortaa"/>
          <w:i w:val="1"/>
          <w:color w:val="ff0066"/>
          <w:sz w:val="22"/>
          <w:szCs w:val="22"/>
        </w:rPr>
      </w:pPr>
      <w:r w:rsidDel="00000000" w:rsidR="00000000" w:rsidRPr="00000000">
        <w:rPr>
          <w:rFonts w:ascii="Comfortaa" w:cs="Comfortaa" w:eastAsia="Comfortaa" w:hAnsi="Comfortaa"/>
          <w:i w:val="1"/>
          <w:color w:val="ff0066"/>
          <w:rtl w:val="0"/>
        </w:rPr>
        <w:t xml:space="preserve">Consentiamo a chi insegna di prendere coscienza delle sfide reali affrontate dagli studenti LGBTQIA+ e lo guidiamo verso la definizione di obiettivi di apprendimento personali per migliorare l'inclusione”.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Questo esempio di comunicato stampa potrebbe essere inviato alla stampa locale e agli enti di formazione, alle ONG e ad altri soggetti interessati a partecipare al corso di formazione di UNIQUE.  </w:t>
      </w:r>
    </w:p>
    <w:p w:rsidR="00000000" w:rsidDel="00000000" w:rsidP="00000000" w:rsidRDefault="00000000" w:rsidRPr="00000000" w14:paraId="00000012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1943100</wp:posOffset>
            </wp:positionH>
            <wp:positionV relativeFrom="paragraph">
              <wp:posOffset>238125</wp:posOffset>
            </wp:positionV>
            <wp:extent cx="1143000" cy="400050"/>
            <wp:effectExtent b="0" l="0" r="0" t="0"/>
            <wp:wrapSquare wrapText="bothSides" distB="114300" distT="114300" distL="114300" distR="114300"/>
            <wp:docPr id="2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-476249</wp:posOffset>
            </wp:positionH>
            <wp:positionV relativeFrom="paragraph">
              <wp:posOffset>236841</wp:posOffset>
            </wp:positionV>
            <wp:extent cx="2205264" cy="495300"/>
            <wp:effectExtent b="0" l="0" r="0" t="0"/>
            <wp:wrapSquare wrapText="bothSides" distB="114300" distT="114300" distL="114300" distR="114300"/>
            <wp:docPr id="29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 b="0" l="0" r="567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05264" cy="495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E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center" w:leader="none" w:pos="4536"/>
          <w:tab w:val="right" w:leader="none" w:pos="9072"/>
        </w:tabs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center" w:leader="none" w:pos="4536"/>
          <w:tab w:val="right" w:leader="none" w:pos="9072"/>
        </w:tabs>
        <w:rPr>
          <w:rFonts w:ascii="Open Sans" w:cs="Open Sans" w:eastAsia="Open Sans" w:hAnsi="Open Sans"/>
          <w:color w:val="005c9a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[LOGO DELL’ENTE]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color w:val="223773"/>
          <w:sz w:val="22"/>
          <w:szCs w:val="22"/>
          <w:rtl w:val="0"/>
        </w:rPr>
        <w:tab/>
        <w:t xml:space="preserve">                                   </w:t>
      </w:r>
      <w:r w:rsidDel="00000000" w:rsidR="00000000" w:rsidRPr="00000000">
        <w:rPr>
          <w:rFonts w:ascii="Open Sans" w:cs="Open Sans" w:eastAsia="Open Sans" w:hAnsi="Open Sans"/>
          <w:b w:val="1"/>
          <w:sz w:val="32"/>
          <w:szCs w:val="32"/>
          <w:rtl w:val="0"/>
        </w:rPr>
        <w:t xml:space="preserve">Comunicato stampa</w:t>
      </w:r>
      <w:r w:rsidDel="00000000" w:rsidR="00000000" w:rsidRPr="00000000">
        <w:rPr>
          <w:rFonts w:ascii="Open Sans" w:cs="Open Sans" w:eastAsia="Open Sans" w:hAnsi="Open Sans"/>
          <w:sz w:val="32"/>
          <w:szCs w:val="32"/>
          <w:rtl w:val="0"/>
        </w:rPr>
        <w:t xml:space="preserve"> – </w:t>
      </w:r>
      <w:r w:rsidDel="00000000" w:rsidR="00000000" w:rsidRPr="00000000">
        <w:rPr>
          <w:rFonts w:ascii="Open Sans" w:cs="Open Sans" w:eastAsia="Open Sans" w:hAnsi="Open Sans"/>
          <w:sz w:val="32"/>
          <w:szCs w:val="32"/>
          <w:highlight w:val="yellow"/>
          <w:rtl w:val="0"/>
        </w:rPr>
        <w:t xml:space="preserve">Luogo, data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color w:val="223773"/>
          <w:sz w:val="22"/>
          <w:szCs w:val="22"/>
          <w:rtl w:val="0"/>
        </w:rPr>
        <w:t xml:space="preserve">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jc w:val="left"/>
        <w:rPr>
          <w:rFonts w:ascii="Arial" w:cs="Arial" w:eastAsia="Arial" w:hAnsi="Arial"/>
          <w:color w:val="005c9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center"/>
        <w:rPr>
          <w:rFonts w:ascii="Open Sans" w:cs="Open Sans" w:eastAsia="Open Sans" w:hAnsi="Open Sans"/>
          <w:b w:val="1"/>
          <w:sz w:val="32"/>
          <w:szCs w:val="32"/>
        </w:rPr>
      </w:pPr>
      <w:r w:rsidDel="00000000" w:rsidR="00000000" w:rsidRPr="00000000">
        <w:rPr>
          <w:rFonts w:ascii="Open Sans" w:cs="Open Sans" w:eastAsia="Open Sans" w:hAnsi="Open Sans"/>
          <w:b w:val="1"/>
          <w:sz w:val="32"/>
          <w:szCs w:val="32"/>
          <w:highlight w:val="yellow"/>
          <w:rtl w:val="0"/>
        </w:rPr>
        <w:t xml:space="preserve">[Nome dell’ente]</w:t>
      </w:r>
      <w:r w:rsidDel="00000000" w:rsidR="00000000" w:rsidRPr="00000000">
        <w:rPr>
          <w:rFonts w:ascii="Open Sans" w:cs="Open Sans" w:eastAsia="Open Sans" w:hAnsi="Open Sans"/>
          <w:b w:val="1"/>
          <w:sz w:val="32"/>
          <w:szCs w:val="32"/>
          <w:rtl w:val="0"/>
        </w:rPr>
        <w:t xml:space="preserve"> e </w:t>
      </w:r>
      <w:r w:rsidDel="00000000" w:rsidR="00000000" w:rsidRPr="00000000">
        <w:rPr>
          <w:rFonts w:ascii="Open Sans" w:cs="Open Sans" w:eastAsia="Open Sans" w:hAnsi="Open Sans"/>
          <w:b w:val="1"/>
          <w:sz w:val="32"/>
          <w:szCs w:val="32"/>
          <w:highlight w:val="yellow"/>
          <w:rtl w:val="0"/>
        </w:rPr>
        <w:t xml:space="preserve">[possibili partner]</w:t>
      </w:r>
      <w:r w:rsidDel="00000000" w:rsidR="00000000" w:rsidRPr="00000000">
        <w:rPr>
          <w:rFonts w:ascii="Open Sans" w:cs="Open Sans" w:eastAsia="Open Sans" w:hAnsi="Open Sans"/>
          <w:b w:val="1"/>
          <w:sz w:val="32"/>
          <w:szCs w:val="32"/>
          <w:rtl w:val="0"/>
        </w:rPr>
        <w:t xml:space="preserve"> organizza</w:t>
      </w:r>
      <w:r w:rsidDel="00000000" w:rsidR="00000000" w:rsidRPr="00000000">
        <w:rPr>
          <w:rFonts w:ascii="Open Sans" w:cs="Open Sans" w:eastAsia="Open Sans" w:hAnsi="Open Sans"/>
          <w:b w:val="1"/>
          <w:sz w:val="32"/>
          <w:szCs w:val="32"/>
          <w:highlight w:val="yellow"/>
          <w:rtl w:val="0"/>
        </w:rPr>
        <w:t xml:space="preserve">(no)</w:t>
      </w:r>
      <w:r w:rsidDel="00000000" w:rsidR="00000000" w:rsidRPr="00000000">
        <w:rPr>
          <w:rFonts w:ascii="Open Sans" w:cs="Open Sans" w:eastAsia="Open Sans" w:hAnsi="Open Sans"/>
          <w:b w:val="1"/>
          <w:sz w:val="32"/>
          <w:szCs w:val="32"/>
          <w:rtl w:val="0"/>
        </w:rPr>
        <w:t xml:space="preserve"> un corso di formazione per insegnanti per persone adulte e nella formazione professionale presso </w:t>
      </w:r>
      <w:r w:rsidDel="00000000" w:rsidR="00000000" w:rsidRPr="00000000">
        <w:rPr>
          <w:rFonts w:ascii="Open Sans" w:cs="Open Sans" w:eastAsia="Open Sans" w:hAnsi="Open Sans"/>
          <w:b w:val="1"/>
          <w:sz w:val="32"/>
          <w:szCs w:val="32"/>
          <w:highlight w:val="yellow"/>
          <w:rtl w:val="0"/>
        </w:rPr>
        <w:t xml:space="preserve">[località]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00" w:lineRule="auto"/>
        <w:jc w:val="center"/>
        <w:rPr>
          <w:rFonts w:ascii="Open Sans" w:cs="Open Sans" w:eastAsia="Open Sans" w:hAnsi="Open Sans"/>
          <w:b w:val="1"/>
          <w:color w:val="666666"/>
          <w:sz w:val="32"/>
          <w:szCs w:val="32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f6b26b"/>
          <w:sz w:val="32"/>
          <w:szCs w:val="32"/>
          <w:rtl w:val="0"/>
        </w:rPr>
        <w:t xml:space="preserve">Sostenere i risultati accademici delle persone queer adulte sensibilizzando chi insegna sulle questioni di genere e di orientamento sessuale.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0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Le persone queer spesso affrontano pregiudizi o discriminazioni nell'ambiente di apprendimento e di studio. Questo rischia di ostacolare il loro successo scolastico. In molti casi chi insegna potrebbe ritenere di non avere una formazione sufficiente per lavorare con questo gruppo target. </w:t>
      </w:r>
    </w:p>
    <w:p w:rsidR="00000000" w:rsidDel="00000000" w:rsidP="00000000" w:rsidRDefault="00000000" w:rsidRPr="00000000" w14:paraId="00000025">
      <w:pPr>
        <w:spacing w:after="20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Il progetto Unique, sviluppato da 6 partner provenienti da 5 Paesi europei nell'ambito di un progetto Erasmus+, offre 4 moduli di formazione per supportare chi insegna nel percorso di comprensione delle specificità delle lotte di persone adulte LGBTQIA+ che studiano e per prevenire il loro abbandono delle istituzioni scolastiche.</w:t>
      </w:r>
    </w:p>
    <w:p w:rsidR="00000000" w:rsidDel="00000000" w:rsidP="00000000" w:rsidRDefault="00000000" w:rsidRPr="00000000" w14:paraId="00000026">
      <w:pPr>
        <w:jc w:val="both"/>
        <w:rPr>
          <w:rFonts w:ascii="Open Sans" w:cs="Open Sans" w:eastAsia="Open Sans" w:hAnsi="Open Sans"/>
          <w:b w:val="1"/>
          <w:i w:val="1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rtl w:val="0"/>
        </w:rPr>
        <w:t xml:space="preserve">Perché partecipare a questo corso di formazione?</w:t>
      </w:r>
    </w:p>
    <w:p w:rsidR="00000000" w:rsidDel="00000000" w:rsidP="00000000" w:rsidRDefault="00000000" w:rsidRPr="00000000" w14:paraId="00000027">
      <w:pPr>
        <w:jc w:val="both"/>
        <w:rPr>
          <w:rFonts w:ascii="Open Sans" w:cs="Open Sans" w:eastAsia="Open Sans" w:hAnsi="Open Sans"/>
          <w:i w:val="1"/>
        </w:rPr>
      </w:pPr>
      <w:r w:rsidDel="00000000" w:rsidR="00000000" w:rsidRPr="00000000">
        <w:rPr>
          <w:rFonts w:ascii="Open Sans" w:cs="Open Sans" w:eastAsia="Open Sans" w:hAnsi="Open Sans"/>
          <w:i w:val="1"/>
          <w:rtl w:val="0"/>
        </w:rPr>
        <w:t xml:space="preserve">Questo corso risponde a una serie di esigenze di chi insegna a persone adulte. Innanzitutto, fornisce una formazione sulle realtà di vita delle persone adulte che si identificano come LGBTQIA+, ma offre anche strategie e soluzioni pratiche per garantire alle proprie classi pari opportunità nel percorso formativo e protezione dalla discriminazione. Inoltre, fornisce a chi insegna le conoscenze per sostenere le proprie classi in caso di conflitti o difficoltà.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52.00000000000003" w:lineRule="auto"/>
        <w:jc w:val="both"/>
        <w:rPr>
          <w:rFonts w:ascii="Arial" w:cs="Arial" w:eastAsia="Arial" w:hAnsi="Arial"/>
          <w:i w:val="1"/>
          <w:color w:val="1c1c1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Open Sans" w:cs="Open Sans" w:eastAsia="Open Sans" w:hAnsi="Open Sans"/>
          <w:color w:val="223773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223773"/>
          <w:sz w:val="22"/>
          <w:szCs w:val="22"/>
          <w:highlight w:val="yellow"/>
          <w:rtl w:val="0"/>
        </w:rPr>
        <w:t xml:space="preserve">[Inserire indirizzo, date, contatti]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52.00000000000003" w:lineRule="auto"/>
        <w:rPr>
          <w:rFonts w:ascii="Arial" w:cs="Arial" w:eastAsia="Arial" w:hAnsi="Arial"/>
          <w:color w:val="223773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60" w:line="240" w:lineRule="auto"/>
        <w:ind w:left="720" w:firstLine="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Modulo 1: Identità LGBTQIA+ in classe: termini e realtà di vita</w:t>
      </w:r>
    </w:p>
    <w:p w:rsidR="00000000" w:rsidDel="00000000" w:rsidP="00000000" w:rsidRDefault="00000000" w:rsidRPr="00000000" w14:paraId="0000002C">
      <w:pPr>
        <w:spacing w:after="160" w:line="240" w:lineRule="auto"/>
        <w:ind w:left="720" w:firstLine="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Modulo 2: Capire l’intersezionalità</w:t>
      </w:r>
    </w:p>
    <w:p w:rsidR="00000000" w:rsidDel="00000000" w:rsidP="00000000" w:rsidRDefault="00000000" w:rsidRPr="00000000" w14:paraId="0000002D">
      <w:pPr>
        <w:spacing w:after="160" w:line="240" w:lineRule="auto"/>
        <w:ind w:left="720" w:firstLine="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Modulo 3: Ambienti di apprendimento inclusivi</w:t>
      </w:r>
    </w:p>
    <w:p w:rsidR="00000000" w:rsidDel="00000000" w:rsidP="00000000" w:rsidRDefault="00000000" w:rsidRPr="00000000" w14:paraId="0000002E">
      <w:pPr>
        <w:spacing w:after="0" w:line="240" w:lineRule="auto"/>
        <w:ind w:left="720" w:firstLine="0"/>
        <w:rPr>
          <w:rFonts w:ascii="Open Sans" w:cs="Open Sans" w:eastAsia="Open Sans" w:hAnsi="Open Sans"/>
          <w:sz w:val="34"/>
          <w:szCs w:val="34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Modulo 4: Capacità di gestione della classe e risoluzione dei conflitti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Questi corsi sono gratuiti previa iscrizione</w:t>
      </w:r>
    </w:p>
    <w:p w:rsidR="00000000" w:rsidDel="00000000" w:rsidP="00000000" w:rsidRDefault="00000000" w:rsidRPr="00000000" w14:paraId="00000031">
      <w:pPr>
        <w:jc w:val="center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Per iscriversi, contattare : </w:t>
      </w:r>
      <w:r w:rsidDel="00000000" w:rsidR="00000000" w:rsidRPr="00000000">
        <w:rPr>
          <w:rFonts w:ascii="Open Sans" w:cs="Open Sans" w:eastAsia="Open Sans" w:hAnsi="Open Sans"/>
          <w:b w:val="1"/>
          <w:highlight w:val="yellow"/>
          <w:rtl w:val="0"/>
        </w:rPr>
        <w:t xml:space="preserve">[NOME DELLA PERSONA]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right="23"/>
        <w:jc w:val="center"/>
        <w:rPr>
          <w:rFonts w:ascii="Open Sans" w:cs="Open Sans" w:eastAsia="Open Sans" w:hAnsi="Open Sans"/>
          <w:b w:val="1"/>
          <w:u w:val="single"/>
        </w:rPr>
      </w:pPr>
      <w:r w:rsidDel="00000000" w:rsidR="00000000" w:rsidRPr="00000000">
        <w:rPr>
          <w:rFonts w:ascii="Open Sans" w:cs="Open Sans" w:eastAsia="Open Sans" w:hAnsi="Open Sans"/>
          <w:highlight w:val="yellow"/>
          <w:rtl w:val="0"/>
        </w:rPr>
        <w:t xml:space="preserve">[Breve presentazione del tuo ente]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right="23"/>
        <w:jc w:val="left"/>
        <w:rPr>
          <w:rFonts w:ascii="Arial" w:cs="Arial" w:eastAsia="Arial" w:hAnsi="Arial"/>
          <w:b w:val="1"/>
          <w:sz w:val="20"/>
          <w:szCs w:val="20"/>
          <w:u w:val="single"/>
        </w:rPr>
      </w:pPr>
      <w:bookmarkStart w:colFirst="0" w:colLast="0" w:name="_heading=h.oa7qyahh8yc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right="23"/>
        <w:jc w:val="center"/>
        <w:rPr>
          <w:rFonts w:ascii="Open Sans" w:cs="Open Sans" w:eastAsia="Open Sans" w:hAnsi="Open Sans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Contatti media: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[completare]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6840" w:w="11900" w:orient="portrait"/>
      <w:pgMar w:bottom="1440.0000000000002" w:top="1440.0000000000002" w:left="1133.8582677165355" w:right="1133.8582677165355" w:header="566.9291338582677" w:footer="566.929133858267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mfortaa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rPr>
        <w:sz w:val="20"/>
        <w:szCs w:val="20"/>
      </w:rPr>
    </w:pPr>
    <w:r w:rsidDel="00000000" w:rsidR="00000000" w:rsidRPr="00000000">
      <w:rPr>
        <w:color w:val="26324b"/>
        <w:sz w:val="20"/>
        <w:szCs w:val="20"/>
        <w:rtl w:val="0"/>
      </w:rPr>
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rPr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-571499</wp:posOffset>
              </wp:positionH>
              <wp:positionV relativeFrom="paragraph">
                <wp:posOffset>-126999</wp:posOffset>
              </wp:positionV>
              <wp:extent cx="5467350" cy="564092"/>
              <wp:effectExtent b="0" l="0" r="0" t="0"/>
              <wp:wrapNone/>
              <wp:docPr id="20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953320" y="3543780"/>
                        <a:ext cx="4785360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-17.000000476837158" w:right="0" w:firstLine="-17.000000476837158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Roboto" w:cs="Roboto" w:eastAsia="Roboto" w:hAnsi="Roboto"/>
                              <w:b w:val="0"/>
                              <w:i w:val="0"/>
                              <w:smallCaps w:val="0"/>
                              <w:strike w:val="0"/>
                              <w:color w:val="26324b"/>
                              <w:sz w:val="12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-571499</wp:posOffset>
              </wp:positionH>
              <wp:positionV relativeFrom="paragraph">
                <wp:posOffset>-126999</wp:posOffset>
              </wp:positionV>
              <wp:extent cx="5467350" cy="564092"/>
              <wp:effectExtent b="0" l="0" r="0" t="0"/>
              <wp:wrapNone/>
              <wp:docPr id="20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67350" cy="56409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-180482</wp:posOffset>
          </wp:positionV>
          <wp:extent cx="7781925" cy="732933"/>
          <wp:effectExtent b="0" l="0" r="0" t="0"/>
          <wp:wrapNone/>
          <wp:docPr descr="Fußzeilengrafik" id="23" name="image4.png"/>
          <a:graphic>
            <a:graphicData uri="http://schemas.openxmlformats.org/drawingml/2006/picture">
              <pic:pic>
                <pic:nvPicPr>
                  <pic:cNvPr descr="Fußzeilengrafik"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732933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tabs>
        <w:tab w:val="center" w:leader="none" w:pos="4513"/>
        <w:tab w:val="right" w:leader="none" w:pos="9026"/>
      </w:tabs>
      <w:jc w:val="left"/>
      <w:rPr/>
    </w:pPr>
    <w:r w:rsidDel="00000000" w:rsidR="00000000" w:rsidRPr="00000000">
      <w:rPr>
        <w:rtl w:val="0"/>
      </w:rPr>
      <w:t xml:space="preserve"> “UNIQUE” – Progetto Erasmus+ № 2023-1-DE02-KA220-000155982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-590549</wp:posOffset>
          </wp:positionH>
          <wp:positionV relativeFrom="paragraph">
            <wp:posOffset>-176211</wp:posOffset>
          </wp:positionV>
          <wp:extent cx="1780313" cy="400357"/>
          <wp:effectExtent b="0" l="0" r="0" t="0"/>
          <wp:wrapSquare wrapText="bothSides" distB="114300" distT="114300" distL="114300" distR="114300"/>
          <wp:docPr id="28" name="image6.jpg"/>
          <a:graphic>
            <a:graphicData uri="http://schemas.openxmlformats.org/drawingml/2006/picture">
              <pic:pic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 b="0" l="0" r="5671" t="0"/>
                  <a:stretch>
                    <a:fillRect/>
                  </a:stretch>
                </pic:blipFill>
                <pic:spPr>
                  <a:xfrm>
                    <a:off x="0" y="0"/>
                    <a:ext cx="1780313" cy="40035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5934075</wp:posOffset>
          </wp:positionH>
          <wp:positionV relativeFrom="paragraph">
            <wp:posOffset>-257173</wp:posOffset>
          </wp:positionV>
          <wp:extent cx="672375" cy="561975"/>
          <wp:effectExtent b="0" l="0" r="0" t="0"/>
          <wp:wrapNone/>
          <wp:docPr id="2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16500" r="16594" t="0"/>
                  <a:stretch>
                    <a:fillRect/>
                  </a:stretch>
                </pic:blipFill>
                <pic:spPr>
                  <a:xfrm>
                    <a:off x="0" y="0"/>
                    <a:ext cx="672375" cy="5619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7818120</wp:posOffset>
          </wp:positionH>
          <wp:positionV relativeFrom="paragraph">
            <wp:posOffset>-259074</wp:posOffset>
          </wp:positionV>
          <wp:extent cx="1007110" cy="563983"/>
          <wp:effectExtent b="0" l="0" r="0" t="0"/>
          <wp:wrapNone/>
          <wp:docPr id="2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7110" cy="56398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Fonts w:ascii="Roboto" w:cs="Roboto" w:eastAsia="Roboto" w:hAnsi="Roboto"/>
        <w:sz w:val="22"/>
        <w:szCs w:val="22"/>
        <w:rtl w:val="0"/>
      </w:rPr>
      <w:t xml:space="preserve">“UNIQUE” - Progetto Erasmus+ Nr.: 2023-1-DE02-KA220-000155982</w:t>
    </w:r>
    <w:r w:rsidDel="00000000" w:rsidR="00000000" w:rsidRPr="00000000">
      <w:rPr>
        <w:rtl w:val="0"/>
      </w:rPr>
      <w:t xml:space="preserve">             </w:t>
    </w:r>
    <w:r w:rsidDel="00000000" w:rsidR="00000000" w:rsidRPr="00000000">
      <w:rPr>
        <w:color w:val="000000"/>
        <w:rtl w:val="0"/>
      </w:rPr>
      <w:t xml:space="preserve"> 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4591050</wp:posOffset>
          </wp:positionH>
          <wp:positionV relativeFrom="paragraph">
            <wp:posOffset>-447672</wp:posOffset>
          </wp:positionV>
          <wp:extent cx="2280920" cy="2280920"/>
          <wp:effectExtent b="0" l="0" r="0" t="0"/>
          <wp:wrapNone/>
          <wp:docPr descr="Eckgrafik" id="22" name="image3.png"/>
          <a:graphic>
            <a:graphicData uri="http://schemas.openxmlformats.org/drawingml/2006/picture">
              <pic:pic>
                <pic:nvPicPr>
                  <pic:cNvPr descr="Eckgrafik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80920" cy="22809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7818120</wp:posOffset>
          </wp:positionH>
          <wp:positionV relativeFrom="paragraph">
            <wp:posOffset>-259074</wp:posOffset>
          </wp:positionV>
          <wp:extent cx="1007110" cy="563983"/>
          <wp:effectExtent b="0" l="0" r="0" t="0"/>
          <wp:wrapNone/>
          <wp:docPr id="2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7110" cy="56398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71EEF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5E0493"/>
    <w:pPr>
      <w:spacing w:after="200" w:line="276" w:lineRule="auto"/>
      <w:ind w:left="720"/>
      <w:contextualSpacing w:val="1"/>
    </w:pPr>
    <w:rPr>
      <w:sz w:val="22"/>
      <w:szCs w:val="22"/>
    </w:rPr>
  </w:style>
  <w:style w:type="table" w:styleId="LightList-Accent5">
    <w:name w:val="Light List Accent 5"/>
    <w:basedOn w:val="TableNormal"/>
    <w:uiPriority w:val="61"/>
    <w:rsid w:val="005E0493"/>
    <w:rPr>
      <w:sz w:val="22"/>
      <w:szCs w:val="22"/>
    </w:rPr>
    <w:tblPr>
      <w:tblStyleRowBandSize w:val="1"/>
      <w:tblStyleColBandSize w:val="1"/>
      <w:tblBorders>
        <w:top w:color="5b9bd5" w:space="0" w:sz="8" w:themeColor="accent5" w:val="single"/>
        <w:left w:color="5b9bd5" w:space="0" w:sz="8" w:themeColor="accent5" w:val="single"/>
        <w:bottom w:color="5b9bd5" w:space="0" w:sz="8" w:themeColor="accent5" w:val="single"/>
        <w:right w:color="5b9bd5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5b9bd5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5b9bd5" w:space="0" w:sz="6" w:themeColor="accent5" w:val="doub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themeColor="accent5" w:val="sing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</w:tcBorders>
      </w:tcPr>
    </w:tblStylePr>
    <w:tblStylePr w:type="band1Horz">
      <w:tblPr/>
      <w:tcPr>
        <w:tcBorders>
          <w:top w:color="5b9bd5" w:space="0" w:sz="8" w:themeColor="accent5" w:val="sing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</w:tcBorders>
      </w:tcPr>
    </w:tblStylePr>
  </w:style>
  <w:style w:type="table" w:styleId="MediumShading1-Accent5">
    <w:name w:val="Medium Shading 1 Accent 5"/>
    <w:basedOn w:val="TableNormal"/>
    <w:uiPriority w:val="63"/>
    <w:rsid w:val="005E0493"/>
    <w:rPr>
      <w:sz w:val="22"/>
      <w:szCs w:val="22"/>
    </w:rPr>
    <w:tblPr>
      <w:tblStyleRowBandSize w:val="1"/>
      <w:tblStyleColBandSize w:val="1"/>
      <w:tblBorders>
        <w:top w:color="84b3df" w:space="0" w:sz="8" w:themeColor="accent5" w:themeTint="0000BF" w:val="single"/>
        <w:left w:color="84b3df" w:space="0" w:sz="8" w:themeColor="accent5" w:themeTint="0000BF" w:val="single"/>
        <w:bottom w:color="84b3df" w:space="0" w:sz="8" w:themeColor="accent5" w:themeTint="0000BF" w:val="single"/>
        <w:right w:color="84b3df" w:space="0" w:sz="8" w:themeColor="accent5" w:themeTint="0000BF" w:val="single"/>
        <w:insideH w:color="84b3df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84b3df" w:space="0" w:sz="8" w:themeColor="accent5" w:themeTint="0000BF" w:val="single"/>
          <w:left w:color="84b3df" w:space="0" w:sz="8" w:themeColor="accent5" w:themeTint="0000BF" w:val="single"/>
          <w:bottom w:color="84b3df" w:space="0" w:sz="8" w:themeColor="accent5" w:themeTint="0000BF" w:val="single"/>
          <w:right w:color="84b3df" w:space="0" w:sz="8" w:themeColor="accent5" w:themeTint="0000BF" w:val="single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4b3df" w:space="0" w:sz="6" w:themeColor="accent5" w:themeTint="0000BF" w:val="double"/>
          <w:left w:color="84b3df" w:space="0" w:sz="8" w:themeColor="accent5" w:themeTint="0000BF" w:val="single"/>
          <w:bottom w:color="84b3df" w:space="0" w:sz="8" w:themeColor="accent5" w:themeTint="0000BF" w:val="single"/>
          <w:right w:color="84b3df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character" w:styleId="Hyperlink">
    <w:name w:val="Hyperlink"/>
    <w:basedOn w:val="DefaultParagraphFont"/>
    <w:uiPriority w:val="99"/>
    <w:unhideWhenUsed w:val="1"/>
    <w:rsid w:val="001D37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D37FC"/>
    <w:rPr>
      <w:color w:val="605e5c"/>
      <w:shd w:color="auto" w:fill="e1dfdd" w:val="clear"/>
    </w:rPr>
  </w:style>
  <w:style w:type="paragraph" w:styleId="Header">
    <w:name w:val="header"/>
    <w:basedOn w:val="Normal"/>
    <w:link w:val="HeaderChar"/>
    <w:uiPriority w:val="99"/>
    <w:unhideWhenUsed w:val="1"/>
    <w:rsid w:val="0093641C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3641C"/>
  </w:style>
  <w:style w:type="paragraph" w:styleId="Footer">
    <w:name w:val="footer"/>
    <w:basedOn w:val="Normal"/>
    <w:link w:val="FooterChar"/>
    <w:uiPriority w:val="99"/>
    <w:unhideWhenUsed w:val="1"/>
    <w:rsid w:val="0093641C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3641C"/>
  </w:style>
  <w:style w:type="table" w:styleId="TableGrid">
    <w:name w:val="Table Grid"/>
    <w:basedOn w:val="TableNormal"/>
    <w:uiPriority w:val="39"/>
    <w:rsid w:val="00BF7CA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after="0" w:before="0" w:line="240" w:lineRule="auto"/>
      </w:pPr>
      <w:rPr>
        <w:b w:val="1"/>
        <w:color w:val="ffffff"/>
      </w:rPr>
      <w:tblPr/>
      <w:tcPr>
        <w:shd w:color="auto" w:fill="5b9bd5" w:val="clear"/>
      </w:tcPr>
    </w:tblStylePr>
    <w:tblStylePr w:type="lastRow">
      <w:pPr>
        <w:spacing w:after="0" w:before="0" w:line="240" w:lineRule="auto"/>
      </w:pPr>
      <w:rPr>
        <w:b w:val="1"/>
      </w:rPr>
      <w:tblPr/>
      <w:tcPr>
        <w:tcBorders>
          <w:top w:color="5b9bd5" w:space="0" w:sz="6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a0" w:customStyle="1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after="0" w:before="0" w:line="240" w:lineRule="auto"/>
      </w:pPr>
      <w:rPr>
        <w:b w:val="1"/>
        <w:color w:val="ffffff"/>
      </w:rPr>
      <w:tblPr/>
      <w:tcPr>
        <w:tcBorders>
          <w:top w:color="84b4df" w:space="0" w:sz="8" w:val="single"/>
          <w:left w:color="84b4df" w:space="0" w:sz="8" w:val="single"/>
          <w:bottom w:color="84b4df" w:space="0" w:sz="8" w:val="single"/>
          <w:right w:color="84b4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before="0" w:line="240" w:lineRule="auto"/>
      </w:pPr>
      <w:rPr>
        <w:b w:val="1"/>
      </w:rPr>
      <w:tblPr/>
      <w:tcPr>
        <w:tcBorders>
          <w:top w:color="84b4df" w:space="0" w:sz="6" w:val="single"/>
          <w:left w:color="84b4df" w:space="0" w:sz="8" w:val="single"/>
          <w:bottom w:color="84b4df" w:space="0" w:sz="8" w:val="single"/>
          <w:right w:color="84b4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a1" w:customStyle="1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after="0" w:before="0" w:line="240" w:lineRule="auto"/>
      </w:pPr>
      <w:rPr>
        <w:b w:val="1"/>
        <w:color w:val="ffffff"/>
      </w:rPr>
      <w:tblPr/>
      <w:tcPr>
        <w:tcBorders>
          <w:top w:color="84b4df" w:space="0" w:sz="8" w:val="single"/>
          <w:left w:color="84b4df" w:space="0" w:sz="8" w:val="single"/>
          <w:bottom w:color="84b4df" w:space="0" w:sz="8" w:val="single"/>
          <w:right w:color="84b4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before="0" w:line="240" w:lineRule="auto"/>
      </w:pPr>
      <w:rPr>
        <w:b w:val="1"/>
      </w:rPr>
      <w:tblPr/>
      <w:tcPr>
        <w:tcBorders>
          <w:top w:color="84b4df" w:space="0" w:sz="6" w:val="single"/>
          <w:left w:color="84b4df" w:space="0" w:sz="8" w:val="single"/>
          <w:bottom w:color="84b4df" w:space="0" w:sz="8" w:val="single"/>
          <w:right w:color="84b4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a2" w:customStyle="1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after="0" w:before="0" w:line="240" w:lineRule="auto"/>
      </w:pPr>
      <w:rPr>
        <w:b w:val="1"/>
        <w:color w:val="ffffff"/>
      </w:rPr>
      <w:tblPr/>
      <w:tcPr>
        <w:tcBorders>
          <w:top w:color="84b4df" w:space="0" w:sz="8" w:val="single"/>
          <w:left w:color="84b4df" w:space="0" w:sz="8" w:val="single"/>
          <w:bottom w:color="84b4df" w:space="0" w:sz="8" w:val="single"/>
          <w:right w:color="84b4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before="0" w:line="240" w:lineRule="auto"/>
      </w:pPr>
      <w:rPr>
        <w:b w:val="1"/>
      </w:rPr>
      <w:tblPr/>
      <w:tcPr>
        <w:tcBorders>
          <w:top w:color="84b4df" w:space="0" w:sz="6" w:val="single"/>
          <w:left w:color="84b4df" w:space="0" w:sz="8" w:val="single"/>
          <w:bottom w:color="84b4df" w:space="0" w:sz="8" w:val="single"/>
          <w:right w:color="84b4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a3" w:customStyle="1">
    <w:basedOn w:val="TableNormal"/>
    <w:rPr>
      <w:sz w:val="22"/>
      <w:szCs w:val="22"/>
    </w:rPr>
    <w:tblPr>
      <w:tblStyleRowBandSize w:val="1"/>
      <w:tblStyleColBandSize w:val="1"/>
    </w:tblPr>
    <w:tblStylePr w:type="firstRow">
      <w:pPr>
        <w:spacing w:after="0" w:before="0" w:line="240" w:lineRule="auto"/>
      </w:pPr>
      <w:rPr>
        <w:b w:val="1"/>
        <w:color w:val="ffffff"/>
      </w:rPr>
      <w:tblPr/>
      <w:tcPr>
        <w:tcBorders>
          <w:top w:color="84b4df" w:space="0" w:sz="8" w:val="single"/>
          <w:left w:color="84b4df" w:space="0" w:sz="8" w:val="single"/>
          <w:bottom w:color="84b4df" w:space="0" w:sz="8" w:val="single"/>
          <w:right w:color="84b4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before="0" w:line="240" w:lineRule="auto"/>
      </w:pPr>
      <w:rPr>
        <w:b w:val="1"/>
      </w:rPr>
      <w:tblPr/>
      <w:tcPr>
        <w:tcBorders>
          <w:top w:color="84b4df" w:space="0" w:sz="6" w:val="single"/>
          <w:left w:color="84b4df" w:space="0" w:sz="8" w:val="single"/>
          <w:bottom w:color="84b4df" w:space="0" w:sz="8" w:val="single"/>
          <w:right w:color="84b4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Comfortaa-regular.ttf"/><Relationship Id="rId6" Type="http://schemas.openxmlformats.org/officeDocument/2006/relationships/font" Target="fonts/Comfortaa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JmWmQkTtTPDhMzcrtkKo9u0SAQ==">CgMxLjAyDmgub2E3cXlhaGg4eWNlMghoLmdqZGd4czgAciExX01NMHpqWjFqYVE2V1AxbVMyVjZGTVZaZ0VPb0ljaDY=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2024-05-31T18:52:00Z</dcterms:created>
  <dc:creator>Paul Harrison</dc:creator>
</cp:coreProperties>
</file>