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ind w:right="4"/>
        <w:jc w:val="left"/>
        <w:rPr>
          <w:rFonts w:ascii="Roboto" w:cs="Roboto" w:eastAsia="Roboto" w:hAnsi="Roboto"/>
          <w:b w:val="0"/>
          <w:color w:val="283592"/>
          <w:sz w:val="68"/>
          <w:szCs w:val="68"/>
        </w:rPr>
      </w:pPr>
      <w:r w:rsidDel="00000000" w:rsidR="00000000" w:rsidRPr="00000000">
        <w:rPr>
          <w:rtl w:val="0"/>
        </w:rPr>
      </w:r>
    </w:p>
    <w:p w:rsidR="00000000" w:rsidDel="00000000" w:rsidP="00000000" w:rsidRDefault="00000000" w:rsidRPr="00000000" w14:paraId="00000002">
      <w:pPr>
        <w:spacing w:before="200" w:line="336" w:lineRule="auto"/>
        <w:ind w:left="-17" w:firstLine="0"/>
        <w:rPr>
          <w:rFonts w:ascii="Roboto" w:cs="Roboto" w:eastAsia="Roboto" w:hAnsi="Roboto"/>
          <w:color w:val="666666"/>
          <w:sz w:val="22"/>
          <w:szCs w:val="22"/>
        </w:rPr>
      </w:pPr>
      <w:r w:rsidDel="00000000" w:rsidR="00000000" w:rsidRPr="00000000">
        <w:rPr>
          <w:rtl w:val="0"/>
        </w:rPr>
      </w:r>
    </w:p>
    <w:p w:rsidR="00000000" w:rsidDel="00000000" w:rsidP="00000000" w:rsidRDefault="00000000" w:rsidRPr="00000000" w14:paraId="00000003">
      <w:pPr>
        <w:pStyle w:val="Title"/>
        <w:keepNext w:val="0"/>
        <w:keepLines w:val="0"/>
        <w:spacing w:after="0" w:before="0" w:lineRule="auto"/>
        <w:ind w:right="4"/>
        <w:jc w:val="center"/>
        <w:rPr>
          <w:rFonts w:ascii="Roboto" w:cs="Roboto" w:eastAsia="Roboto" w:hAnsi="Roboto"/>
          <w:b w:val="0"/>
          <w:color w:val="283592"/>
          <w:sz w:val="94"/>
          <w:szCs w:val="94"/>
        </w:rPr>
      </w:pPr>
      <w:r w:rsidDel="00000000" w:rsidR="00000000" w:rsidRPr="00000000">
        <w:rPr>
          <w:rFonts w:ascii="Roboto" w:cs="Roboto" w:eastAsia="Roboto" w:hAnsi="Roboto"/>
          <w:b w:val="0"/>
          <w:color w:val="283592"/>
          <w:sz w:val="94"/>
          <w:szCs w:val="94"/>
          <w:rtl w:val="0"/>
        </w:rPr>
        <w:t xml:space="preserve">Ejemplo de nota de prensa</w:t>
      </w:r>
    </w:p>
    <w:p w:rsidR="00000000" w:rsidDel="00000000" w:rsidP="00000000" w:rsidRDefault="00000000" w:rsidRPr="00000000" w14:paraId="00000004">
      <w:pPr>
        <w:spacing w:before="200" w:line="336" w:lineRule="auto"/>
        <w:ind w:left="864" w:right="864" w:firstLine="0"/>
        <w:jc w:val="center"/>
        <w:rPr>
          <w:rFonts w:ascii="Roboto" w:cs="Roboto" w:eastAsia="Roboto" w:hAnsi="Roboto"/>
          <w:i w:val="1"/>
          <w:color w:val="404040"/>
          <w:sz w:val="22"/>
          <w:szCs w:val="2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1074419</wp:posOffset>
            </wp:positionH>
            <wp:positionV relativeFrom="paragraph">
              <wp:posOffset>290830</wp:posOffset>
            </wp:positionV>
            <wp:extent cx="3808243" cy="2141220"/>
            <wp:effectExtent b="0" l="0" r="0" t="0"/>
            <wp:wrapNone/>
            <wp:docPr id="30"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808243" cy="2141220"/>
                    </a:xfrm>
                    <a:prstGeom prst="rect"/>
                    <a:ln/>
                  </pic:spPr>
                </pic:pic>
              </a:graphicData>
            </a:graphic>
          </wp:anchor>
        </w:drawing>
      </w:r>
    </w:p>
    <w:p w:rsidR="00000000" w:rsidDel="00000000" w:rsidP="00000000" w:rsidRDefault="00000000" w:rsidRPr="00000000" w14:paraId="00000005">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6">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7">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8">
      <w:pPr>
        <w:spacing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9">
      <w:pPr>
        <w:spacing w:after="160" w:line="336" w:lineRule="auto"/>
        <w:ind w:left="864" w:right="864" w:firstLine="0"/>
        <w:jc w:val="center"/>
        <w:rPr>
          <w:rFonts w:ascii="Comfortaa" w:cs="Comfortaa" w:eastAsia="Comfortaa" w:hAnsi="Comfortaa"/>
          <w:i w:val="1"/>
          <w:color w:val="ff0066"/>
          <w:sz w:val="22"/>
          <w:szCs w:val="22"/>
        </w:rPr>
      </w:pPr>
      <w:r w:rsidDel="00000000" w:rsidR="00000000" w:rsidRPr="00000000">
        <w:rPr>
          <w:rtl w:val="0"/>
        </w:rPr>
      </w:r>
    </w:p>
    <w:p w:rsidR="00000000" w:rsidDel="00000000" w:rsidP="00000000" w:rsidRDefault="00000000" w:rsidRPr="00000000" w14:paraId="0000000A">
      <w:pPr>
        <w:spacing w:before="200" w:line="336" w:lineRule="auto"/>
        <w:ind w:left="-17" w:firstLine="0"/>
        <w:rPr>
          <w:rFonts w:ascii="Roboto" w:cs="Roboto" w:eastAsia="Roboto" w:hAnsi="Roboto"/>
          <w:color w:val="666666"/>
          <w:sz w:val="22"/>
          <w:szCs w:val="22"/>
        </w:rPr>
      </w:pPr>
      <w:r w:rsidDel="00000000" w:rsidR="00000000" w:rsidRPr="00000000">
        <w:rPr>
          <w:rtl w:val="0"/>
        </w:rPr>
      </w:r>
    </w:p>
    <w:p w:rsidR="00000000" w:rsidDel="00000000" w:rsidP="00000000" w:rsidRDefault="00000000" w:rsidRPr="00000000" w14:paraId="0000000B">
      <w:pPr>
        <w:spacing w:before="200" w:line="336" w:lineRule="auto"/>
        <w:ind w:left="-17" w:firstLine="0"/>
        <w:rPr>
          <w:rFonts w:ascii="Roboto" w:cs="Roboto" w:eastAsia="Roboto" w:hAnsi="Roboto"/>
          <w:color w:val="666666"/>
          <w:sz w:val="22"/>
          <w:szCs w:val="22"/>
        </w:rPr>
      </w:pPr>
      <w:r w:rsidDel="00000000" w:rsidR="00000000" w:rsidRPr="00000000">
        <w:rPr>
          <w:rtl w:val="0"/>
        </w:rPr>
      </w:r>
    </w:p>
    <w:p w:rsidR="00000000" w:rsidDel="00000000" w:rsidP="00000000" w:rsidRDefault="00000000" w:rsidRPr="00000000" w14:paraId="0000000C">
      <w:pPr>
        <w:spacing w:line="336" w:lineRule="auto"/>
        <w:ind w:left="-17" w:firstLine="0"/>
        <w:rPr>
          <w:rFonts w:ascii="Roboto" w:cs="Roboto" w:eastAsia="Roboto" w:hAnsi="Roboto"/>
          <w:color w:val="666666"/>
          <w:sz w:val="22"/>
          <w:szCs w:val="22"/>
        </w:rPr>
      </w:pPr>
      <w:r w:rsidDel="00000000" w:rsidR="00000000" w:rsidRPr="00000000">
        <w:rPr>
          <w:rtl w:val="0"/>
        </w:rPr>
      </w:r>
    </w:p>
    <w:p w:rsidR="00000000" w:rsidDel="00000000" w:rsidP="00000000" w:rsidRDefault="00000000" w:rsidRPr="00000000" w14:paraId="0000000D">
      <w:pPr>
        <w:spacing w:after="160" w:before="200" w:line="336" w:lineRule="auto"/>
        <w:ind w:left="864" w:right="864" w:firstLine="0"/>
        <w:jc w:val="center"/>
        <w:rPr>
          <w:rFonts w:ascii="Comfortaa" w:cs="Comfortaa" w:eastAsia="Comfortaa" w:hAnsi="Comfortaa"/>
          <w:i w:val="1"/>
          <w:color w:val="ff0066"/>
          <w:sz w:val="22"/>
          <w:szCs w:val="22"/>
        </w:rPr>
      </w:pPr>
      <w:r w:rsidDel="00000000" w:rsidR="00000000" w:rsidRPr="00000000">
        <w:rPr>
          <w:rFonts w:ascii="Comfortaa" w:cs="Comfortaa" w:eastAsia="Comfortaa" w:hAnsi="Comfortaa"/>
          <w:i w:val="1"/>
          <w:color w:val="ff0066"/>
          <w:sz w:val="22"/>
          <w:szCs w:val="22"/>
          <w:rtl w:val="0"/>
        </w:rPr>
        <w:t xml:space="preserve">Permitir que los educadores tomen conciencia de los desafíos reales que enfrentan los estudiantes LGBTQIA+ y guiarlos hacia el establecimiento de objetivos de aprendizaje personales para una mejor inclusión.</w:t>
      </w:r>
    </w:p>
    <w:p w:rsidR="00000000" w:rsidDel="00000000" w:rsidP="00000000" w:rsidRDefault="00000000" w:rsidRPr="00000000" w14:paraId="0000000E">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0F">
      <w:pPr>
        <w:tabs>
          <w:tab w:val="center" w:leader="none" w:pos="4536"/>
          <w:tab w:val="right" w:leader="none" w:pos="9072"/>
        </w:tabs>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Este comunicado de prensa de muestra podría enviarse a la prensa local y a instituciones de capacitación, ONG y otras partes interesadas en asistir al curso de capacitación de UNIQUE.  </w:t>
      </w:r>
    </w:p>
    <w:p w:rsidR="00000000" w:rsidDel="00000000" w:rsidP="00000000" w:rsidRDefault="00000000" w:rsidRPr="00000000" w14:paraId="00000010">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1">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2">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3">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4">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5">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6">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7">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8">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9">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A">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B">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C">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-514349</wp:posOffset>
            </wp:positionH>
            <wp:positionV relativeFrom="paragraph">
              <wp:posOffset>255891</wp:posOffset>
            </wp:positionV>
            <wp:extent cx="1922462" cy="400050"/>
            <wp:effectExtent b="0" l="0" r="0" t="0"/>
            <wp:wrapNone/>
            <wp:docPr id="27" name="image7.jpg"/>
            <a:graphic>
              <a:graphicData uri="http://schemas.openxmlformats.org/drawingml/2006/picture">
                <pic:pic>
                  <pic:nvPicPr>
                    <pic:cNvPr id="0" name="image7.jpg"/>
                    <pic:cNvPicPr preferRelativeResize="0"/>
                  </pic:nvPicPr>
                  <pic:blipFill>
                    <a:blip r:embed="rId8"/>
                    <a:srcRect b="0" l="0" r="0" t="0"/>
                    <a:stretch>
                      <a:fillRect/>
                    </a:stretch>
                  </pic:blipFill>
                  <pic:spPr>
                    <a:xfrm>
                      <a:off x="0" y="0"/>
                      <a:ext cx="1922462" cy="400050"/>
                    </a:xfrm>
                    <a:prstGeom prst="rect"/>
                    <a:ln/>
                  </pic:spPr>
                </pic:pic>
              </a:graphicData>
            </a:graphic>
          </wp:anchor>
        </w:drawing>
      </w:r>
    </w:p>
    <w:p w:rsidR="00000000" w:rsidDel="00000000" w:rsidP="00000000" w:rsidRDefault="00000000" w:rsidRPr="00000000" w14:paraId="0000001D">
      <w:pPr>
        <w:tabs>
          <w:tab w:val="center" w:leader="none" w:pos="4536"/>
          <w:tab w:val="right" w:leader="none" w:pos="9072"/>
        </w:tabs>
        <w:rPr>
          <w:rFonts w:ascii="Arial" w:cs="Arial" w:eastAsia="Arial" w:hAnsi="Arial"/>
          <w:sz w:val="22"/>
          <w:szCs w:val="22"/>
          <w:highlight w:val="yellow"/>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1409700</wp:posOffset>
            </wp:positionH>
            <wp:positionV relativeFrom="paragraph">
              <wp:posOffset>125109</wp:posOffset>
            </wp:positionV>
            <wp:extent cx="979714" cy="342900"/>
            <wp:effectExtent b="0" l="0" r="0" t="0"/>
            <wp:wrapSquare wrapText="bothSides" distB="114300" distT="114300" distL="114300" distR="114300"/>
            <wp:docPr id="26"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979714" cy="342900"/>
                    </a:xfrm>
                    <a:prstGeom prst="rect"/>
                    <a:ln/>
                  </pic:spPr>
                </pic:pic>
              </a:graphicData>
            </a:graphic>
          </wp:anchor>
        </w:drawing>
      </w:r>
    </w:p>
    <w:p w:rsidR="00000000" w:rsidDel="00000000" w:rsidP="00000000" w:rsidRDefault="00000000" w:rsidRPr="00000000" w14:paraId="0000001E">
      <w:pPr>
        <w:tabs>
          <w:tab w:val="center" w:leader="none" w:pos="4536"/>
          <w:tab w:val="right" w:leader="none" w:pos="9072"/>
        </w:tabs>
        <w:rPr>
          <w:rFonts w:ascii="Open Sans" w:cs="Open Sans" w:eastAsia="Open Sans" w:hAnsi="Open Sans"/>
          <w:color w:val="005c9a"/>
          <w:sz w:val="30"/>
          <w:szCs w:val="30"/>
        </w:rPr>
      </w:pPr>
      <w:r w:rsidDel="00000000" w:rsidR="00000000" w:rsidRPr="00000000">
        <w:rPr>
          <w:rFonts w:ascii="Arial" w:cs="Arial" w:eastAsia="Arial" w:hAnsi="Arial"/>
          <w:sz w:val="20"/>
          <w:szCs w:val="20"/>
          <w:highlight w:val="yellow"/>
          <w:rtl w:val="0"/>
        </w:rPr>
        <w:t xml:space="preserve">[LOGOTIPO DE LA INSTITUCIÓN]</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23773"/>
          <w:sz w:val="20"/>
          <w:szCs w:val="20"/>
          <w:rtl w:val="0"/>
        </w:rPr>
        <w:tab/>
        <w:tab/>
      </w:r>
      <w:r w:rsidDel="00000000" w:rsidR="00000000" w:rsidRPr="00000000">
        <w:rPr>
          <w:rFonts w:ascii="Open Sans" w:cs="Open Sans" w:eastAsia="Open Sans" w:hAnsi="Open Sans"/>
          <w:b w:val="1"/>
          <w:sz w:val="30"/>
          <w:szCs w:val="30"/>
          <w:rtl w:val="0"/>
        </w:rPr>
        <w:t xml:space="preserve">Nota de prensa</w:t>
      </w:r>
      <w:r w:rsidDel="00000000" w:rsidR="00000000" w:rsidRPr="00000000">
        <w:rPr>
          <w:rFonts w:ascii="Open Sans" w:cs="Open Sans" w:eastAsia="Open Sans" w:hAnsi="Open Sans"/>
          <w:sz w:val="30"/>
          <w:szCs w:val="30"/>
          <w:rtl w:val="0"/>
        </w:rPr>
        <w:t xml:space="preserve">–</w:t>
      </w:r>
      <w:r w:rsidDel="00000000" w:rsidR="00000000" w:rsidRPr="00000000">
        <w:rPr>
          <w:rFonts w:ascii="Open Sans" w:cs="Open Sans" w:eastAsia="Open Sans" w:hAnsi="Open Sans"/>
          <w:sz w:val="30"/>
          <w:szCs w:val="30"/>
          <w:highlight w:val="yellow"/>
          <w:rtl w:val="0"/>
        </w:rPr>
        <w:t xml:space="preserve">Lugar, fecha</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color w:val="223773"/>
          <w:sz w:val="20"/>
          <w:szCs w:val="20"/>
          <w:rtl w:val="0"/>
        </w:rPr>
        <w:t xml:space="preserve">                                                             </w:t>
      </w:r>
      <w:r w:rsidDel="00000000" w:rsidR="00000000" w:rsidRPr="00000000">
        <w:rPr>
          <w:rtl w:val="0"/>
        </w:rPr>
      </w:r>
    </w:p>
    <w:p w:rsidR="00000000" w:rsidDel="00000000" w:rsidP="00000000" w:rsidRDefault="00000000" w:rsidRPr="00000000" w14:paraId="0000001F">
      <w:pPr>
        <w:spacing w:after="200" w:lineRule="auto"/>
        <w:rPr>
          <w:rFonts w:ascii="Arial" w:cs="Arial" w:eastAsia="Arial" w:hAnsi="Arial"/>
          <w:color w:val="005c9a"/>
          <w:sz w:val="26"/>
          <w:szCs w:val="26"/>
        </w:rPr>
      </w:pPr>
      <w:r w:rsidDel="00000000" w:rsidR="00000000" w:rsidRPr="00000000">
        <w:rPr>
          <w:rtl w:val="0"/>
        </w:rPr>
      </w:r>
    </w:p>
    <w:p w:rsidR="00000000" w:rsidDel="00000000" w:rsidP="00000000" w:rsidRDefault="00000000" w:rsidRPr="00000000" w14:paraId="00000020">
      <w:pPr>
        <w:spacing w:line="276" w:lineRule="auto"/>
        <w:jc w:val="center"/>
        <w:rPr>
          <w:rFonts w:ascii="Open Sans" w:cs="Open Sans" w:eastAsia="Open Sans" w:hAnsi="Open Sans"/>
          <w:b w:val="1"/>
          <w:sz w:val="30"/>
          <w:szCs w:val="30"/>
        </w:rPr>
      </w:pPr>
      <w:r w:rsidDel="00000000" w:rsidR="00000000" w:rsidRPr="00000000">
        <w:rPr>
          <w:rFonts w:ascii="Open Sans" w:cs="Open Sans" w:eastAsia="Open Sans" w:hAnsi="Open Sans"/>
          <w:b w:val="1"/>
          <w:sz w:val="30"/>
          <w:szCs w:val="30"/>
          <w:highlight w:val="yellow"/>
          <w:rtl w:val="0"/>
        </w:rPr>
        <w:t xml:space="preserve">[Nombre de su institución] </w:t>
      </w:r>
      <w:r w:rsidDel="00000000" w:rsidR="00000000" w:rsidRPr="00000000">
        <w:rPr>
          <w:rFonts w:ascii="Open Sans" w:cs="Open Sans" w:eastAsia="Open Sans" w:hAnsi="Open Sans"/>
          <w:b w:val="1"/>
          <w:sz w:val="30"/>
          <w:szCs w:val="30"/>
          <w:rtl w:val="0"/>
        </w:rPr>
        <w:t xml:space="preserve">y </w:t>
      </w:r>
      <w:r w:rsidDel="00000000" w:rsidR="00000000" w:rsidRPr="00000000">
        <w:rPr>
          <w:rFonts w:ascii="Open Sans" w:cs="Open Sans" w:eastAsia="Open Sans" w:hAnsi="Open Sans"/>
          <w:b w:val="1"/>
          <w:sz w:val="30"/>
          <w:szCs w:val="30"/>
          <w:highlight w:val="yellow"/>
          <w:rtl w:val="0"/>
        </w:rPr>
        <w:t xml:space="preserve">[socios potenciales] </w:t>
      </w:r>
      <w:r w:rsidDel="00000000" w:rsidR="00000000" w:rsidRPr="00000000">
        <w:rPr>
          <w:rFonts w:ascii="Open Sans" w:cs="Open Sans" w:eastAsia="Open Sans" w:hAnsi="Open Sans"/>
          <w:b w:val="1"/>
          <w:sz w:val="30"/>
          <w:szCs w:val="30"/>
          <w:rtl w:val="0"/>
        </w:rPr>
        <w:t xml:space="preserve">ofrecemos sesiones de formación para educadores de FP y adultos en </w:t>
      </w:r>
      <w:r w:rsidDel="00000000" w:rsidR="00000000" w:rsidRPr="00000000">
        <w:rPr>
          <w:rFonts w:ascii="Open Sans" w:cs="Open Sans" w:eastAsia="Open Sans" w:hAnsi="Open Sans"/>
          <w:b w:val="1"/>
          <w:sz w:val="30"/>
          <w:szCs w:val="30"/>
          <w:highlight w:val="yellow"/>
          <w:rtl w:val="0"/>
        </w:rPr>
        <w:t xml:space="preserve">[evento]</w:t>
      </w:r>
      <w:r w:rsidDel="00000000" w:rsidR="00000000" w:rsidRPr="00000000">
        <w:rPr>
          <w:rtl w:val="0"/>
        </w:rPr>
      </w:r>
    </w:p>
    <w:p w:rsidR="00000000" w:rsidDel="00000000" w:rsidP="00000000" w:rsidRDefault="00000000" w:rsidRPr="00000000" w14:paraId="00000021">
      <w:pPr>
        <w:spacing w:after="200" w:lineRule="auto"/>
        <w:jc w:val="center"/>
        <w:rPr>
          <w:rFonts w:ascii="Open Sans" w:cs="Open Sans" w:eastAsia="Open Sans" w:hAnsi="Open Sans"/>
          <w:b w:val="1"/>
          <w:color w:val="666666"/>
          <w:sz w:val="30"/>
          <w:szCs w:val="30"/>
        </w:rPr>
      </w:pPr>
      <w:r w:rsidDel="00000000" w:rsidR="00000000" w:rsidRPr="00000000">
        <w:rPr>
          <w:rFonts w:ascii="Open Sans" w:cs="Open Sans" w:eastAsia="Open Sans" w:hAnsi="Open Sans"/>
          <w:b w:val="1"/>
          <w:color w:val="f6b26b"/>
          <w:sz w:val="30"/>
          <w:szCs w:val="30"/>
          <w:rtl w:val="0"/>
        </w:rPr>
        <w:t xml:space="preserve">Apoyar los logros académicos de las personas queer adultas mediante la sensibilización sobre cuestiones de género y orientación sexual entre los educadores.</w:t>
      </w:r>
      <w:r w:rsidDel="00000000" w:rsidR="00000000" w:rsidRPr="00000000">
        <w:rPr>
          <w:rtl w:val="0"/>
        </w:rPr>
      </w:r>
    </w:p>
    <w:p w:rsidR="00000000" w:rsidDel="00000000" w:rsidP="00000000" w:rsidRDefault="00000000" w:rsidRPr="00000000" w14:paraId="00000022">
      <w:pPr>
        <w:jc w:val="both"/>
        <w:rPr>
          <w:rFonts w:ascii="Open Sans" w:cs="Open Sans" w:eastAsia="Open Sans" w:hAnsi="Open Sans"/>
          <w:sz w:val="23"/>
          <w:szCs w:val="23"/>
          <w:highlight w:val="yellow"/>
        </w:rPr>
      </w:pPr>
      <w:r w:rsidDel="00000000" w:rsidR="00000000" w:rsidRPr="00000000">
        <w:rPr>
          <w:rFonts w:ascii="Open Sans" w:cs="Open Sans" w:eastAsia="Open Sans" w:hAnsi="Open Sans"/>
          <w:sz w:val="23"/>
          <w:szCs w:val="23"/>
          <w:rtl w:val="0"/>
        </w:rPr>
        <w:t xml:space="preserve">El alumnado queer suele enfrentarse a prejuicios o discriminación en el entorno educativo. Esto tiene un alto potencial para reducir su éxito educativo. En muchos casos, los educadores pueden sentir que no están lo suficientemente formados para trabajar con este grupo objetivo.</w:t>
      </w:r>
      <w:r w:rsidDel="00000000" w:rsidR="00000000" w:rsidRPr="00000000">
        <w:rPr>
          <w:rtl w:val="0"/>
        </w:rPr>
      </w:r>
    </w:p>
    <w:p w:rsidR="00000000" w:rsidDel="00000000" w:rsidP="00000000" w:rsidRDefault="00000000" w:rsidRPr="00000000" w14:paraId="00000023">
      <w:pPr>
        <w:spacing w:after="200" w:lineRule="auto"/>
        <w:jc w:val="both"/>
        <w:rPr>
          <w:rFonts w:ascii="Open Sans" w:cs="Open Sans" w:eastAsia="Open Sans" w:hAnsi="Open Sans"/>
          <w:sz w:val="23"/>
          <w:szCs w:val="23"/>
        </w:rPr>
      </w:pPr>
      <w:r w:rsidDel="00000000" w:rsidR="00000000" w:rsidRPr="00000000">
        <w:rPr>
          <w:rFonts w:ascii="Open Sans" w:cs="Open Sans" w:eastAsia="Open Sans" w:hAnsi="Open Sans"/>
          <w:sz w:val="23"/>
          <w:szCs w:val="23"/>
          <w:rtl w:val="0"/>
        </w:rPr>
        <w:t xml:space="preserve">El proyecto Unique, desarrollado por un consorcio de 6 socios de 5 países europeos como parte de un proyecto Erasmus+, ofrece 4 módulos de capacitación para apoyar a los educadores en el camino de comprender las especificidades de las luchas de los estudiantes adultos LGBTQIA+ y evitar que abandonen las instituciones educativas.</w:t>
      </w:r>
    </w:p>
    <w:p w:rsidR="00000000" w:rsidDel="00000000" w:rsidP="00000000" w:rsidRDefault="00000000" w:rsidRPr="00000000" w14:paraId="00000024">
      <w:pPr>
        <w:jc w:val="both"/>
        <w:rPr>
          <w:rFonts w:ascii="Open Sans" w:cs="Open Sans" w:eastAsia="Open Sans" w:hAnsi="Open Sans"/>
          <w:b w:val="1"/>
          <w:i w:val="1"/>
          <w:sz w:val="23"/>
          <w:szCs w:val="23"/>
        </w:rPr>
      </w:pPr>
      <w:r w:rsidDel="00000000" w:rsidR="00000000" w:rsidRPr="00000000">
        <w:rPr>
          <w:rFonts w:ascii="Open Sans" w:cs="Open Sans" w:eastAsia="Open Sans" w:hAnsi="Open Sans"/>
          <w:b w:val="1"/>
          <w:i w:val="1"/>
          <w:sz w:val="23"/>
          <w:szCs w:val="23"/>
          <w:rtl w:val="0"/>
        </w:rPr>
        <w:t xml:space="preserve">¿Por qué participar en este curso de formación?</w:t>
      </w:r>
    </w:p>
    <w:p w:rsidR="00000000" w:rsidDel="00000000" w:rsidP="00000000" w:rsidRDefault="00000000" w:rsidRPr="00000000" w14:paraId="00000025">
      <w:pPr>
        <w:jc w:val="both"/>
        <w:rPr>
          <w:rFonts w:ascii="Open Sans" w:cs="Open Sans" w:eastAsia="Open Sans" w:hAnsi="Open Sans"/>
          <w:i w:val="1"/>
          <w:color w:val="223773"/>
        </w:rPr>
      </w:pPr>
      <w:r w:rsidDel="00000000" w:rsidR="00000000" w:rsidRPr="00000000">
        <w:rPr>
          <w:rFonts w:ascii="Open Sans" w:cs="Open Sans" w:eastAsia="Open Sans" w:hAnsi="Open Sans"/>
          <w:i w:val="1"/>
          <w:sz w:val="23"/>
          <w:szCs w:val="23"/>
          <w:rtl w:val="0"/>
        </w:rPr>
        <w:t xml:space="preserve">Este curso de formación aborda diversas necesidades de los educadores de adultos. En primer lugar, proporciona más información sobre las realidades de la vida de las personas adultas que se identifican como LGBTQIA+, pero también ofrece estrategias y soluciones prácticas para garantizar que sus alumnos tengan igualdad de oportunidades en su trayectoria educativa y estén protegidos contra la discriminación. Además, proporciona a los educadores los conocimientos necesarios para apoyar a sus alumnos en caso de conflicto o dificultades</w:t>
      </w:r>
      <w:r w:rsidDel="00000000" w:rsidR="00000000" w:rsidRPr="00000000">
        <w:rPr>
          <w:rFonts w:ascii="Open Sans" w:cs="Open Sans" w:eastAsia="Open Sans" w:hAnsi="Open Sans"/>
          <w:i w:val="1"/>
          <w:rtl w:val="0"/>
        </w:rPr>
        <w:t xml:space="preserve">.</w:t>
      </w:r>
      <w:r w:rsidDel="00000000" w:rsidR="00000000" w:rsidRPr="00000000">
        <w:rPr>
          <w:rtl w:val="0"/>
        </w:rPr>
      </w:r>
    </w:p>
    <w:p w:rsidR="00000000" w:rsidDel="00000000" w:rsidP="00000000" w:rsidRDefault="00000000" w:rsidRPr="00000000" w14:paraId="00000026">
      <w:pPr>
        <w:spacing w:line="252.00000000000003" w:lineRule="auto"/>
        <w:jc w:val="both"/>
        <w:rPr>
          <w:rFonts w:ascii="Arial" w:cs="Arial" w:eastAsia="Arial" w:hAnsi="Arial"/>
          <w:i w:val="1"/>
          <w:color w:val="1c1c1c"/>
          <w:sz w:val="22"/>
          <w:szCs w:val="22"/>
        </w:rPr>
      </w:pPr>
      <w:r w:rsidDel="00000000" w:rsidR="00000000" w:rsidRPr="00000000">
        <w:rPr>
          <w:rtl w:val="0"/>
        </w:rPr>
      </w:r>
    </w:p>
    <w:p w:rsidR="00000000" w:rsidDel="00000000" w:rsidP="00000000" w:rsidRDefault="00000000" w:rsidRPr="00000000" w14:paraId="00000027">
      <w:pPr>
        <w:jc w:val="center"/>
        <w:rPr>
          <w:rFonts w:ascii="Open Sans" w:cs="Open Sans" w:eastAsia="Open Sans" w:hAnsi="Open Sans"/>
          <w:color w:val="223773"/>
          <w:sz w:val="22"/>
          <w:szCs w:val="22"/>
        </w:rPr>
      </w:pPr>
      <w:r w:rsidDel="00000000" w:rsidR="00000000" w:rsidRPr="00000000">
        <w:rPr>
          <w:rFonts w:ascii="Open Sans" w:cs="Open Sans" w:eastAsia="Open Sans" w:hAnsi="Open Sans"/>
          <w:color w:val="223773"/>
          <w:sz w:val="22"/>
          <w:szCs w:val="22"/>
          <w:highlight w:val="yellow"/>
          <w:rtl w:val="0"/>
        </w:rPr>
        <w:t xml:space="preserve">[Ingrese dirección, fechas y datos de contacto]</w:t>
      </w:r>
      <w:r w:rsidDel="00000000" w:rsidR="00000000" w:rsidRPr="00000000">
        <w:rPr>
          <w:rtl w:val="0"/>
        </w:rPr>
      </w:r>
    </w:p>
    <w:p w:rsidR="00000000" w:rsidDel="00000000" w:rsidP="00000000" w:rsidRDefault="00000000" w:rsidRPr="00000000" w14:paraId="00000028">
      <w:pPr>
        <w:spacing w:line="252.00000000000003" w:lineRule="auto"/>
        <w:rPr>
          <w:rFonts w:ascii="Arial" w:cs="Arial" w:eastAsia="Arial" w:hAnsi="Arial"/>
          <w:color w:val="223773"/>
          <w:sz w:val="22"/>
          <w:szCs w:val="22"/>
        </w:rPr>
      </w:pPr>
      <w:r w:rsidDel="00000000" w:rsidR="00000000" w:rsidRPr="00000000">
        <w:rPr>
          <w:rtl w:val="0"/>
        </w:rPr>
      </w:r>
    </w:p>
    <w:p w:rsidR="00000000" w:rsidDel="00000000" w:rsidP="00000000" w:rsidRDefault="00000000" w:rsidRPr="00000000" w14:paraId="00000029">
      <w:pPr>
        <w:spacing w:after="16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Módulo 1: Identidades LGBTQIA+ en el aula: términos y realidades de vida</w:t>
      </w:r>
    </w:p>
    <w:p w:rsidR="00000000" w:rsidDel="00000000" w:rsidP="00000000" w:rsidRDefault="00000000" w:rsidRPr="00000000" w14:paraId="0000002A">
      <w:pPr>
        <w:spacing w:after="16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Módulo 2: Comprender la interseccionalidad</w:t>
      </w:r>
    </w:p>
    <w:p w:rsidR="00000000" w:rsidDel="00000000" w:rsidP="00000000" w:rsidRDefault="00000000" w:rsidRPr="00000000" w14:paraId="0000002B">
      <w:pPr>
        <w:spacing w:after="160" w:lineRule="auto"/>
        <w:ind w:left="720" w:firstLine="0"/>
        <w:rPr>
          <w:rFonts w:ascii="Open Sans" w:cs="Open Sans" w:eastAsia="Open Sans" w:hAnsi="Open Sans"/>
        </w:rPr>
      </w:pPr>
      <w:r w:rsidDel="00000000" w:rsidR="00000000" w:rsidRPr="00000000">
        <w:rPr>
          <w:rFonts w:ascii="Open Sans" w:cs="Open Sans" w:eastAsia="Open Sans" w:hAnsi="Open Sans"/>
          <w:rtl w:val="0"/>
        </w:rPr>
        <w:t xml:space="preserve">Módulo 3: Entornos de aprendizaje inclusivos</w:t>
      </w:r>
    </w:p>
    <w:p w:rsidR="00000000" w:rsidDel="00000000" w:rsidP="00000000" w:rsidRDefault="00000000" w:rsidRPr="00000000" w14:paraId="0000002C">
      <w:pPr>
        <w:ind w:left="720" w:firstLine="0"/>
        <w:rPr>
          <w:rFonts w:ascii="Open Sans" w:cs="Open Sans" w:eastAsia="Open Sans" w:hAnsi="Open Sans"/>
          <w:sz w:val="34"/>
          <w:szCs w:val="34"/>
        </w:rPr>
      </w:pPr>
      <w:r w:rsidDel="00000000" w:rsidR="00000000" w:rsidRPr="00000000">
        <w:rPr>
          <w:rFonts w:ascii="Open Sans" w:cs="Open Sans" w:eastAsia="Open Sans" w:hAnsi="Open Sans"/>
          <w:rtl w:val="0"/>
        </w:rPr>
        <w:t xml:space="preserve">Módulo 4: Habilidades de gestión del aula y resolución de conflictos</w:t>
      </w:r>
      <w:r w:rsidDel="00000000" w:rsidR="00000000" w:rsidRPr="00000000">
        <w:rPr>
          <w:rtl w:val="0"/>
        </w:rPr>
      </w:r>
    </w:p>
    <w:p w:rsidR="00000000" w:rsidDel="00000000" w:rsidP="00000000" w:rsidRDefault="00000000" w:rsidRPr="00000000" w14:paraId="0000002D">
      <w:pPr>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Estos cursos son gratuitos al momento de registrarse.</w:t>
      </w:r>
    </w:p>
    <w:p w:rsidR="00000000" w:rsidDel="00000000" w:rsidP="00000000" w:rsidRDefault="00000000" w:rsidRPr="00000000" w14:paraId="0000002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Para registrarse, contactar a: </w:t>
      </w:r>
      <w:r w:rsidDel="00000000" w:rsidR="00000000" w:rsidRPr="00000000">
        <w:rPr>
          <w:rFonts w:ascii="Open Sans" w:cs="Open Sans" w:eastAsia="Open Sans" w:hAnsi="Open Sans"/>
          <w:b w:val="1"/>
          <w:highlight w:val="yellow"/>
          <w:rtl w:val="0"/>
        </w:rPr>
        <w:t xml:space="preserve">[NOMBRE DE LA PERSONA]</w:t>
      </w:r>
      <w:r w:rsidDel="00000000" w:rsidR="00000000" w:rsidRPr="00000000">
        <w:rPr>
          <w:rtl w:val="0"/>
        </w:rPr>
      </w:r>
    </w:p>
    <w:p w:rsidR="00000000" w:rsidDel="00000000" w:rsidP="00000000" w:rsidRDefault="00000000" w:rsidRPr="00000000" w14:paraId="00000030">
      <w:pPr>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ind w:right="23"/>
        <w:jc w:val="center"/>
        <w:rPr>
          <w:rFonts w:ascii="Open Sans" w:cs="Open Sans" w:eastAsia="Open Sans" w:hAnsi="Open Sans"/>
          <w:b w:val="1"/>
          <w:u w:val="single"/>
        </w:rPr>
      </w:pPr>
      <w:r w:rsidDel="00000000" w:rsidR="00000000" w:rsidRPr="00000000">
        <w:rPr>
          <w:rFonts w:ascii="Open Sans" w:cs="Open Sans" w:eastAsia="Open Sans" w:hAnsi="Open Sans"/>
          <w:highlight w:val="yellow"/>
          <w:rtl w:val="0"/>
        </w:rPr>
        <w:t xml:space="preserve">[Breve presentación de su institución]</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32">
      <w:pPr>
        <w:ind w:right="23"/>
        <w:jc w:val="center"/>
        <w:rPr>
          <w:rFonts w:ascii="Arial" w:cs="Arial" w:eastAsia="Arial" w:hAnsi="Arial"/>
          <w:b w:val="1"/>
          <w:sz w:val="20"/>
          <w:szCs w:val="20"/>
          <w:u w:val="single"/>
        </w:rPr>
      </w:pPr>
      <w:r w:rsidDel="00000000" w:rsidR="00000000" w:rsidRPr="00000000">
        <w:rPr>
          <w:rtl w:val="0"/>
        </w:rPr>
      </w:r>
    </w:p>
    <w:p w:rsidR="00000000" w:rsidDel="00000000" w:rsidP="00000000" w:rsidRDefault="00000000" w:rsidRPr="00000000" w14:paraId="00000033">
      <w:pPr>
        <w:ind w:right="23"/>
        <w:jc w:val="center"/>
        <w:rPr>
          <w:rFonts w:ascii="Arial" w:cs="Arial" w:eastAsia="Arial" w:hAnsi="Arial"/>
          <w:b w:val="1"/>
          <w:u w:val="single"/>
        </w:rPr>
      </w:pPr>
      <w:bookmarkStart w:colFirst="0" w:colLast="0" w:name="_heading=h.oa7qyahh8yce" w:id="0"/>
      <w:bookmarkEnd w:id="0"/>
      <w:r w:rsidDel="00000000" w:rsidR="00000000" w:rsidRPr="00000000">
        <w:rPr>
          <w:rtl w:val="0"/>
        </w:rPr>
      </w:r>
    </w:p>
    <w:p w:rsidR="00000000" w:rsidDel="00000000" w:rsidP="00000000" w:rsidRDefault="00000000" w:rsidRPr="00000000" w14:paraId="00000034">
      <w:pPr>
        <w:ind w:right="23"/>
        <w:jc w:val="center"/>
        <w:rPr>
          <w:rFonts w:ascii="Open Sans" w:cs="Open Sans" w:eastAsia="Open Sans" w:hAnsi="Open Sans"/>
        </w:rPr>
      </w:pPr>
      <w:bookmarkStart w:colFirst="0" w:colLast="0" w:name="_heading=h.gjdgxs" w:id="1"/>
      <w:bookmarkEnd w:id="1"/>
      <w:r w:rsidDel="00000000" w:rsidR="00000000" w:rsidRPr="00000000">
        <w:rPr>
          <w:rFonts w:ascii="Arial" w:cs="Arial" w:eastAsia="Arial" w:hAnsi="Arial"/>
          <w:b w:val="1"/>
          <w:u w:val="single"/>
          <w:rtl w:val="0"/>
        </w:rPr>
        <w:t xml:space="preserve">Contacto de prensa:</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sz w:val="20"/>
          <w:szCs w:val="20"/>
          <w:highlight w:val="yellow"/>
          <w:rtl w:val="0"/>
        </w:rPr>
        <w:t xml:space="preserve">[llenar]</w:t>
      </w: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40" w:w="11900" w:orient="portrait"/>
      <w:pgMar w:bottom="1440" w:top="1440" w:left="1133" w:right="1133" w:header="566" w:footer="56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omfortaa">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rPr/>
    </w:pPr>
    <w:r w:rsidDel="00000000" w:rsidR="00000000" w:rsidRPr="00000000">
      <w:rPr>
        <w:sz w:val="20"/>
        <w:szCs w:val="20"/>
        <w:rtl w:val="0"/>
      </w:rPr>
      <w:t xml:space="preserve">Financiado por la Unión Europea. Las opiniones y puntos de vista expresados ​​son, sin embargo, responsabilidad exclusiva del/de los autor(es) y no reflejan necesariamente los de la Unión Europea ni los de la Agencia Ejecutiva Europea de Educación y Cultura (EACEA). Ni la Unión Europea ni la EACEA se hacen responsables de ellas.</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rPr>
        <w:sz w:val="20"/>
        <w:szCs w:val="20"/>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-571499</wp:posOffset>
              </wp:positionH>
              <wp:positionV relativeFrom="paragraph">
                <wp:posOffset>-126999</wp:posOffset>
              </wp:positionV>
              <wp:extent cx="5467350" cy="495300"/>
              <wp:effectExtent b="0" l="0" r="0" t="0"/>
              <wp:wrapNone/>
              <wp:docPr id="21" name=""/>
              <a:graphic>
                <a:graphicData uri="http://schemas.microsoft.com/office/word/2010/wordprocessingShape">
                  <wps:wsp>
                    <wps:cNvSpPr/>
                    <wps:cNvPr id="2" name="Shape 2"/>
                    <wps:spPr>
                      <a:xfrm>
                        <a:off x="2953320" y="3543780"/>
                        <a:ext cx="4785360" cy="472440"/>
                      </a:xfrm>
                      <a:prstGeom prst="rect">
                        <a:avLst/>
                      </a:prstGeom>
                      <a:noFill/>
                      <a:ln>
                        <a:noFill/>
                      </a:ln>
                    </wps:spPr>
                    <wps:txbx>
                      <w:txbxContent>
                        <w:p w:rsidR="00000000" w:rsidDel="00000000" w:rsidP="00000000" w:rsidRDefault="00000000" w:rsidRPr="00000000">
                          <w:pPr>
                            <w:spacing w:after="0" w:before="0" w:line="240"/>
                            <w:ind w:left="-17.000000476837158" w:right="0" w:firstLine="-17.000000476837158"/>
                            <w:jc w:val="left"/>
                            <w:textDirection w:val="btLr"/>
                          </w:pPr>
                          <w:r w:rsidDel="00000000" w:rsidR="00000000" w:rsidRPr="00000000">
                            <w:rPr>
                              <w:rFonts w:ascii="Roboto" w:cs="Roboto" w:eastAsia="Roboto" w:hAnsi="Roboto"/>
                              <w:b w:val="0"/>
                              <w:i w:val="0"/>
                              <w:smallCaps w:val="0"/>
                              <w:strike w:val="0"/>
                              <w:color w:val="666666"/>
                              <w:sz w:val="14"/>
                              <w:vertAlign w:val="baseline"/>
                            </w:rPr>
                            <w:t xml:space="preserve">Financiado por la Unión Europea. Las opiniones y puntos de vista expresados ​​son, sin embargo, responsabilidad exclusiva del/de los autor(es) y no reflejan necesariamente los de la Unión Europea ni los de la Agencia Ejecutiva Europea de Educación y Cultura (EACEA). Ni la Unión Europea ni la EACEA se hacen responsables de ellas.</w:t>
                          </w:r>
                        </w:p>
                      </w:txbxContent>
                    </wps:txbx>
                    <wps:bodyPr anchorCtr="0" anchor="t" bIns="45700" lIns="91425" spcFirstLastPara="1" rIns="91425" wrap="square" tIns="45700">
                      <a:noAutofit/>
                    </wps:bodyPr>
                  </wps:wsp>
                </a:graphicData>
              </a:graphic>
            </wp:anchor>
          </w:drawing>
        </mc:Choice>
        <mc:Fallback>
          <w:drawing>
            <wp:anchor allowOverlap="1" behindDoc="1" distB="0" distT="0" distL="0" distR="0" hidden="0" layoutInCell="1" locked="0" relativeHeight="0" simplePos="0">
              <wp:simplePos x="0" y="0"/>
              <wp:positionH relativeFrom="column">
                <wp:posOffset>-571499</wp:posOffset>
              </wp:positionH>
              <wp:positionV relativeFrom="paragraph">
                <wp:posOffset>-126999</wp:posOffset>
              </wp:positionV>
              <wp:extent cx="5467350" cy="495300"/>
              <wp:effectExtent b="0" l="0" r="0" t="0"/>
              <wp:wrapNone/>
              <wp:docPr id="21"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467350" cy="495300"/>
                      </a:xfrm>
                      <a:prstGeom prst="rect"/>
                      <a:ln/>
                    </pic:spPr>
                  </pic:pic>
                </a:graphicData>
              </a:graphic>
            </wp:anchor>
          </w:drawing>
        </mc:Fallback>
      </mc:AlternateContent>
    </w:r>
    <w:r w:rsidDel="00000000" w:rsidR="00000000" w:rsidRPr="00000000">
      <w:drawing>
        <wp:anchor allowOverlap="1" behindDoc="1" distB="0" distT="0" distL="0" distR="0" hidden="0" layoutInCell="1" locked="0" relativeHeight="0" simplePos="0">
          <wp:simplePos x="0" y="0"/>
          <wp:positionH relativeFrom="column">
            <wp:posOffset>-909636</wp:posOffset>
          </wp:positionH>
          <wp:positionV relativeFrom="paragraph">
            <wp:posOffset>-132815</wp:posOffset>
          </wp:positionV>
          <wp:extent cx="7785735" cy="801370"/>
          <wp:effectExtent b="0" l="0" r="0" t="0"/>
          <wp:wrapNone/>
          <wp:docPr descr="Fußzeilengrafik" id="24" name="image5.png"/>
          <a:graphic>
            <a:graphicData uri="http://schemas.openxmlformats.org/drawingml/2006/picture">
              <pic:pic>
                <pic:nvPicPr>
                  <pic:cNvPr descr="Fußzeilengrafik" id="0" name="image5.png"/>
                  <pic:cNvPicPr preferRelativeResize="0"/>
                </pic:nvPicPr>
                <pic:blipFill>
                  <a:blip r:embed="rId2"/>
                  <a:srcRect b="0" l="0" r="0" t="0"/>
                  <a:stretch>
                    <a:fillRect/>
                  </a:stretch>
                </pic:blipFill>
                <pic:spPr>
                  <a:xfrm>
                    <a:off x="0" y="0"/>
                    <a:ext cx="7785735" cy="80137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tabs>
        <w:tab w:val="center" w:leader="none" w:pos="4513"/>
        <w:tab w:val="right" w:leader="none" w:pos="9026"/>
      </w:tabs>
      <w:jc w:val="center"/>
      <w:rPr/>
    </w:pPr>
    <w:bookmarkStart w:colFirst="0" w:colLast="0" w:name="_heading=h.rgrh3a3or9um" w:id="2"/>
    <w:bookmarkEnd w:id="2"/>
    <w:r w:rsidDel="00000000" w:rsidR="00000000" w:rsidRPr="00000000">
      <w:rPr>
        <w:rtl w:val="0"/>
      </w:rPr>
      <w:t xml:space="preserve">               “UNIQUE” – Proyecto Erasmus+ n.° 2023-1-DE02-KA220-000155982  </w:t>
    </w:r>
    <w:r w:rsidDel="00000000" w:rsidR="00000000" w:rsidRPr="00000000">
      <w:drawing>
        <wp:anchor allowOverlap="1" behindDoc="0" distB="114300" distT="114300" distL="114300" distR="114300" hidden="0" layoutInCell="1" locked="0" relativeHeight="0" simplePos="0">
          <wp:simplePos x="0" y="0"/>
          <wp:positionH relativeFrom="column">
            <wp:posOffset>-514349</wp:posOffset>
          </wp:positionH>
          <wp:positionV relativeFrom="paragraph">
            <wp:posOffset>-95249</wp:posOffset>
          </wp:positionV>
          <wp:extent cx="1647825" cy="345641"/>
          <wp:effectExtent b="0" l="0" r="0" t="0"/>
          <wp:wrapNone/>
          <wp:docPr id="22" name="image7.jpg"/>
          <a:graphic>
            <a:graphicData uri="http://schemas.openxmlformats.org/drawingml/2006/picture">
              <pic:pic>
                <pic:nvPicPr>
                  <pic:cNvPr id="0" name="image7.jpg"/>
                  <pic:cNvPicPr preferRelativeResize="0"/>
                </pic:nvPicPr>
                <pic:blipFill>
                  <a:blip r:embed="rId1"/>
                  <a:srcRect b="0" l="0" r="0" t="0"/>
                  <a:stretch>
                    <a:fillRect/>
                  </a:stretch>
                </pic:blipFill>
                <pic:spPr>
                  <a:xfrm>
                    <a:off x="0" y="0"/>
                    <a:ext cx="1647825" cy="345641"/>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5934075</wp:posOffset>
          </wp:positionH>
          <wp:positionV relativeFrom="paragraph">
            <wp:posOffset>-257173</wp:posOffset>
          </wp:positionV>
          <wp:extent cx="672375" cy="561975"/>
          <wp:effectExtent b="0" l="0" r="0" t="0"/>
          <wp:wrapNone/>
          <wp:docPr id="23" name="image3.png"/>
          <a:graphic>
            <a:graphicData uri="http://schemas.openxmlformats.org/drawingml/2006/picture">
              <pic:pic>
                <pic:nvPicPr>
                  <pic:cNvPr id="0" name="image3.png"/>
                  <pic:cNvPicPr preferRelativeResize="0"/>
                </pic:nvPicPr>
                <pic:blipFill>
                  <a:blip r:embed="rId2"/>
                  <a:srcRect b="0" l="16500" r="16594" t="0"/>
                  <a:stretch>
                    <a:fillRect/>
                  </a:stretch>
                </pic:blipFill>
                <pic:spPr>
                  <a:xfrm>
                    <a:off x="0" y="0"/>
                    <a:ext cx="672375" cy="56197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7818120</wp:posOffset>
          </wp:positionH>
          <wp:positionV relativeFrom="paragraph">
            <wp:posOffset>-259074</wp:posOffset>
          </wp:positionV>
          <wp:extent cx="1007110" cy="563983"/>
          <wp:effectExtent b="0" l="0" r="0" t="0"/>
          <wp:wrapNone/>
          <wp:docPr id="28"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007110" cy="563983"/>
                  </a:xfrm>
                  <a:prstGeom prst="rect"/>
                  <a:ln/>
                </pic:spPr>
              </pic:pic>
            </a:graphicData>
          </a:graphic>
        </wp:anchor>
      </w:drawing>
    </w:r>
  </w:p>
  <w:p w:rsidR="00000000" w:rsidDel="00000000" w:rsidP="00000000" w:rsidRDefault="00000000" w:rsidRPr="00000000" w14:paraId="00000037">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13"/>
        <w:tab w:val="right" w:leader="none" w:pos="9026"/>
      </w:tabs>
      <w:rPr>
        <w:color w:val="000000"/>
      </w:rPr>
    </w:pPr>
    <w:r w:rsidDel="00000000" w:rsidR="00000000" w:rsidRPr="00000000">
      <w:rPr>
        <w:rFonts w:ascii="Roboto" w:cs="Roboto" w:eastAsia="Roboto" w:hAnsi="Roboto"/>
        <w:sz w:val="22"/>
        <w:szCs w:val="22"/>
        <w:rtl w:val="0"/>
      </w:rPr>
      <w:t xml:space="preserve">“UNIQUE” - Proyecto Erasmus+ n.º: 2023-1-DE02-KA220-000155982             </w:t>
    </w:r>
    <w:r w:rsidDel="00000000" w:rsidR="00000000" w:rsidRPr="00000000">
      <w:rPr>
        <w:color w:val="000000"/>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4591050</wp:posOffset>
          </wp:positionH>
          <wp:positionV relativeFrom="paragraph">
            <wp:posOffset>-447672</wp:posOffset>
          </wp:positionV>
          <wp:extent cx="2280920" cy="2280920"/>
          <wp:effectExtent b="0" l="0" r="0" t="0"/>
          <wp:wrapNone/>
          <wp:docPr descr="Eckgrafik" id="29" name="image1.png"/>
          <a:graphic>
            <a:graphicData uri="http://schemas.openxmlformats.org/drawingml/2006/picture">
              <pic:pic>
                <pic:nvPicPr>
                  <pic:cNvPr descr="Eckgrafik" id="0" name="image1.png"/>
                  <pic:cNvPicPr preferRelativeResize="0"/>
                </pic:nvPicPr>
                <pic:blipFill>
                  <a:blip r:embed="rId1"/>
                  <a:srcRect b="0" l="0" r="0" t="0"/>
                  <a:stretch>
                    <a:fillRect/>
                  </a:stretch>
                </pic:blipFill>
                <pic:spPr>
                  <a:xfrm>
                    <a:off x="0" y="0"/>
                    <a:ext cx="2280920" cy="228092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7818120</wp:posOffset>
          </wp:positionH>
          <wp:positionV relativeFrom="paragraph">
            <wp:posOffset>-259074</wp:posOffset>
          </wp:positionV>
          <wp:extent cx="1007110" cy="563983"/>
          <wp:effectExtent b="0" l="0" r="0" t="0"/>
          <wp:wrapNone/>
          <wp:docPr id="25" name="image3.png"/>
          <a:graphic>
            <a:graphicData uri="http://schemas.openxmlformats.org/drawingml/2006/picture">
              <pic:pic>
                <pic:nvPicPr>
                  <pic:cNvPr id="0" name="image3.png"/>
                  <pic:cNvPicPr preferRelativeResize="0"/>
                </pic:nvPicPr>
                <pic:blipFill>
                  <a:blip r:embed="rId2"/>
                  <a:srcRect b="0" l="0" r="0" t="0"/>
                  <a:stretch>
                    <a:fillRect/>
                  </a:stretch>
                </pic:blipFill>
                <pic:spPr>
                  <a:xfrm>
                    <a:off x="0" y="0"/>
                    <a:ext cx="1007110" cy="563983"/>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71EEF"/>
  </w:style>
  <w:style w:type="paragraph" w:styleId="Ttulo1">
    <w:name w:val="heading 1"/>
    <w:basedOn w:val="Normal"/>
    <w:next w:val="Normal"/>
    <w:uiPriority w:val="9"/>
    <w:qFormat w:val="1"/>
    <w:pPr>
      <w:keepNext w:val="1"/>
      <w:keepLines w:val="1"/>
      <w:spacing w:after="120" w:before="480"/>
      <w:outlineLvl w:val="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Prrafodelista">
    <w:name w:val="List Paragraph"/>
    <w:basedOn w:val="Normal"/>
    <w:uiPriority w:val="34"/>
    <w:qFormat w:val="1"/>
    <w:rsid w:val="005E0493"/>
    <w:pPr>
      <w:spacing w:after="200" w:line="276" w:lineRule="auto"/>
      <w:ind w:left="720"/>
      <w:contextualSpacing w:val="1"/>
    </w:pPr>
    <w:rPr>
      <w:sz w:val="22"/>
      <w:szCs w:val="22"/>
    </w:rPr>
  </w:style>
  <w:style w:type="table" w:styleId="Listaclara-nfasis5">
    <w:name w:val="Light List Accent 5"/>
    <w:basedOn w:val="Tablanormal"/>
    <w:uiPriority w:val="61"/>
    <w:rsid w:val="005E0493"/>
    <w:rPr>
      <w:sz w:val="22"/>
      <w:szCs w:val="22"/>
    </w:rPr>
    <w:tblPr>
      <w:tblStyleRowBandSize w:val="1"/>
      <w:tblStyleColBandSize w:val="1"/>
      <w:tblBorders>
        <w:top w:color="5b9bd5" w:space="0" w:sz="8" w:themeColor="accent5" w:val="single"/>
        <w:left w:color="5b9bd5" w:space="0" w:sz="8" w:themeColor="accent5" w:val="single"/>
        <w:bottom w:color="5b9bd5" w:space="0" w:sz="8" w:themeColor="accent5" w:val="single"/>
        <w:right w:color="5b9bd5" w:space="0" w:sz="8" w:themeColor="accent5" w:val="single"/>
      </w:tblBorders>
    </w:tblPr>
    <w:tblStylePr w:type="firstRow">
      <w:pPr>
        <w:spacing w:after="0" w:before="0" w:line="240" w:lineRule="auto"/>
      </w:pPr>
      <w:rPr>
        <w:b w:val="1"/>
        <w:bCs w:val="1"/>
        <w:color w:val="ffffff" w:themeColor="background1"/>
      </w:rPr>
      <w:tblPr/>
      <w:tcPr>
        <w:shd w:color="auto" w:fill="5b9bd5" w:themeFill="accent5" w:val="clear"/>
      </w:tcPr>
    </w:tblStylePr>
    <w:tblStylePr w:type="lastRow">
      <w:pPr>
        <w:spacing w:after="0" w:before="0" w:line="240" w:lineRule="auto"/>
      </w:pPr>
      <w:rPr>
        <w:b w:val="1"/>
        <w:bCs w:val="1"/>
      </w:rPr>
      <w:tblPr/>
      <w:tcPr>
        <w:tcBorders>
          <w:top w:color="5b9bd5" w:space="0" w:sz="6" w:themeColor="accent5" w:val="double"/>
          <w:left w:color="5b9bd5" w:space="0" w:sz="8" w:themeColor="accent5" w:val="single"/>
          <w:bottom w:color="5b9bd5" w:space="0" w:sz="8" w:themeColor="accent5" w:val="single"/>
          <w:right w:color="5b9bd5" w:space="0" w:sz="8" w:themeColor="accent5" w:val="single"/>
        </w:tcBorders>
      </w:tcPr>
    </w:tblStylePr>
    <w:tblStylePr w:type="firstCol">
      <w:rPr>
        <w:b w:val="1"/>
        <w:bCs w:val="1"/>
      </w:rPr>
    </w:tblStylePr>
    <w:tblStylePr w:type="lastCol">
      <w:rPr>
        <w:b w:val="1"/>
        <w:bCs w:val="1"/>
      </w:rPr>
    </w:tblStylePr>
    <w:tblStylePr w:type="band1Vert">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tblStylePr w:type="band1Horz">
      <w:tblPr/>
      <w:tcPr>
        <w:tcBorders>
          <w:top w:color="5b9bd5" w:space="0" w:sz="8" w:themeColor="accent5" w:val="single"/>
          <w:left w:color="5b9bd5" w:space="0" w:sz="8" w:themeColor="accent5" w:val="single"/>
          <w:bottom w:color="5b9bd5" w:space="0" w:sz="8" w:themeColor="accent5" w:val="single"/>
          <w:right w:color="5b9bd5" w:space="0" w:sz="8" w:themeColor="accent5" w:val="single"/>
        </w:tcBorders>
      </w:tcPr>
    </w:tblStylePr>
  </w:style>
  <w:style w:type="table" w:styleId="Sombreadomedio1-nfasis5">
    <w:name w:val="Medium Shading 1 Accent 5"/>
    <w:basedOn w:val="Tablanormal"/>
    <w:uiPriority w:val="63"/>
    <w:rsid w:val="005E0493"/>
    <w:rPr>
      <w:sz w:val="22"/>
      <w:szCs w:val="22"/>
    </w:rPr>
    <w:tblPr>
      <w:tblStyleRowBandSize w:val="1"/>
      <w:tblStyleColBandSize w:val="1"/>
      <w:tbl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color="84b3df" w:space="0" w:sz="8" w:themeColor="accent5" w:themeTint="0000BF" w:val="single"/>
      </w:tblBorders>
    </w:tblPr>
    <w:tblStylePr w:type="firstRow">
      <w:pPr>
        <w:spacing w:after="0" w:before="0" w:line="240" w:lineRule="auto"/>
      </w:pPr>
      <w:rPr>
        <w:b w:val="1"/>
        <w:bCs w:val="1"/>
        <w:color w:val="ffffff" w:themeColor="background1"/>
      </w:rPr>
      <w:tblPr/>
      <w:tcPr>
        <w:tcBorders>
          <w:top w:color="84b3df" w:space="0" w:sz="8" w:themeColor="accent5" w:themeTint="0000BF" w:val="sing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shd w:color="auto" w:fill="5b9bd5" w:themeFill="accent5" w:val="clear"/>
      </w:tcPr>
    </w:tblStylePr>
    <w:tblStylePr w:type="lastRow">
      <w:pPr>
        <w:spacing w:after="0" w:before="0" w:line="240" w:lineRule="auto"/>
      </w:pPr>
      <w:rPr>
        <w:b w:val="1"/>
        <w:bCs w:val="1"/>
      </w:rPr>
      <w:tblPr/>
      <w:tcPr>
        <w:tcBorders>
          <w:top w:color="84b3df" w:space="0" w:sz="6" w:themeColor="accent5" w:themeTint="0000BF" w:val="double"/>
          <w:left w:color="84b3df" w:space="0" w:sz="8" w:themeColor="accent5" w:themeTint="0000BF" w:val="single"/>
          <w:bottom w:color="84b3df" w:space="0" w:sz="8" w:themeColor="accent5" w:themeTint="0000BF" w:val="single"/>
          <w:right w:color="84b3df" w:space="0" w:sz="8" w:themeColor="accent5"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6e6f4" w:themeFill="accent5" w:themeFillTint="00003F" w:val="clear"/>
      </w:tcPr>
    </w:tblStylePr>
    <w:tblStylePr w:type="band1Horz">
      <w:tblPr/>
      <w:tcPr>
        <w:tcBorders>
          <w:insideH w:space="0" w:sz="0" w:val="nil"/>
          <w:insideV w:space="0" w:sz="0" w:val="nil"/>
        </w:tcBorders>
        <w:shd w:color="auto" w:fill="d6e6f4" w:themeFill="accent5" w:themeFillTint="00003F" w:val="clear"/>
      </w:tcPr>
    </w:tblStylePr>
    <w:tblStylePr w:type="band2Horz">
      <w:tblPr/>
      <w:tcPr>
        <w:tcBorders>
          <w:insideH w:space="0" w:sz="0" w:val="nil"/>
          <w:insideV w:space="0" w:sz="0" w:val="nil"/>
        </w:tcBorders>
      </w:tcPr>
    </w:tblStylePr>
  </w:style>
  <w:style w:type="character" w:styleId="Hipervnculo">
    <w:name w:val="Hyperlink"/>
    <w:basedOn w:val="Fuentedeprrafopredeter"/>
    <w:uiPriority w:val="99"/>
    <w:unhideWhenUsed w:val="1"/>
    <w:rsid w:val="001D37FC"/>
    <w:rPr>
      <w:color w:val="0563c1" w:themeColor="hyperlink"/>
      <w:u w:val="single"/>
    </w:rPr>
  </w:style>
  <w:style w:type="character" w:styleId="Mencinsinresolver">
    <w:name w:val="Unresolved Mention"/>
    <w:basedOn w:val="Fuentedeprrafopredeter"/>
    <w:uiPriority w:val="99"/>
    <w:rsid w:val="001D37FC"/>
    <w:rPr>
      <w:color w:val="605e5c"/>
      <w:shd w:color="auto" w:fill="e1dfdd" w:val="clear"/>
    </w:rPr>
  </w:style>
  <w:style w:type="paragraph" w:styleId="Encabezado">
    <w:name w:val="header"/>
    <w:basedOn w:val="Normal"/>
    <w:link w:val="EncabezadoCar"/>
    <w:uiPriority w:val="99"/>
    <w:unhideWhenUsed w:val="1"/>
    <w:rsid w:val="0093641C"/>
    <w:pPr>
      <w:tabs>
        <w:tab w:val="center" w:pos="4513"/>
        <w:tab w:val="right" w:pos="9026"/>
      </w:tabs>
    </w:pPr>
  </w:style>
  <w:style w:type="character" w:styleId="EncabezadoCar" w:customStyle="1">
    <w:name w:val="Encabezado Car"/>
    <w:basedOn w:val="Fuentedeprrafopredeter"/>
    <w:link w:val="Encabezado"/>
    <w:uiPriority w:val="99"/>
    <w:rsid w:val="0093641C"/>
  </w:style>
  <w:style w:type="paragraph" w:styleId="Piedepgina">
    <w:name w:val="footer"/>
    <w:basedOn w:val="Normal"/>
    <w:link w:val="PiedepginaCar"/>
    <w:uiPriority w:val="99"/>
    <w:unhideWhenUsed w:val="1"/>
    <w:rsid w:val="0093641C"/>
    <w:pPr>
      <w:tabs>
        <w:tab w:val="center" w:pos="4513"/>
        <w:tab w:val="right" w:pos="9026"/>
      </w:tabs>
    </w:pPr>
  </w:style>
  <w:style w:type="character" w:styleId="PiedepginaCar" w:customStyle="1">
    <w:name w:val="Pie de página Car"/>
    <w:basedOn w:val="Fuentedeprrafopredeter"/>
    <w:link w:val="Piedepgina"/>
    <w:uiPriority w:val="99"/>
    <w:rsid w:val="0093641C"/>
  </w:style>
  <w:style w:type="table" w:styleId="Tablaconcuadrcula">
    <w:name w:val="Table Grid"/>
    <w:basedOn w:val="Tablanormal"/>
    <w:uiPriority w:val="39"/>
    <w:rsid w:val="00BF7CA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anormal"/>
    <w:rPr>
      <w:sz w:val="22"/>
      <w:szCs w:val="22"/>
    </w:rPr>
    <w:tblPr>
      <w:tblStyleRowBandSize w:val="1"/>
      <w:tblStyleColBandSize w:val="1"/>
    </w:tblPr>
    <w:tblStylePr w:type="firstRow">
      <w:pPr>
        <w:spacing w:after="0" w:before="0" w:line="240" w:lineRule="auto"/>
      </w:pPr>
      <w:rPr>
        <w:b w:val="1"/>
        <w:color w:val="ffffff"/>
      </w:rPr>
      <w:tblPr/>
      <w:tcPr>
        <w:shd w:color="auto" w:fill="5b9bd5" w:val="clear"/>
      </w:tcPr>
    </w:tblStylePr>
    <w:tblStylePr w:type="lastRow">
      <w:pPr>
        <w:spacing w:after="0" w:before="0" w:line="240" w:lineRule="auto"/>
      </w:pPr>
      <w:rPr>
        <w:b w:val="1"/>
      </w:rPr>
      <w:tblPr/>
      <w:tcPr>
        <w:tcBorders>
          <w:top w:color="5b9bd5" w:space="0" w:sz="6" w:val="single"/>
          <w:left w:color="5b9bd5" w:space="0" w:sz="8" w:val="single"/>
          <w:bottom w:color="5b9bd5" w:space="0" w:sz="8" w:val="single"/>
          <w:right w:color="5b9bd5" w:space="0" w:sz="8" w:val="single"/>
        </w:tcBorders>
      </w:tcPr>
    </w:tblStylePr>
    <w:tblStylePr w:type="firstCol">
      <w:rPr>
        <w:b w:val="1"/>
      </w:rPr>
    </w:tblStylePr>
    <w:tblStylePr w:type="lastCol">
      <w:rPr>
        <w:b w:val="1"/>
      </w:rPr>
    </w:tblStylePr>
    <w:tblStylePr w:type="band1Vert">
      <w:tblPr/>
      <w:tcPr>
        <w:tcBorders>
          <w:top w:color="5b9bd5" w:space="0" w:sz="8" w:val="single"/>
          <w:left w:color="5b9bd5" w:space="0" w:sz="8" w:val="single"/>
          <w:bottom w:color="5b9bd5" w:space="0" w:sz="8" w:val="single"/>
          <w:right w:color="5b9bd5" w:space="0" w:sz="8" w:val="single"/>
        </w:tcBorders>
      </w:tcPr>
    </w:tblStylePr>
    <w:tblStylePr w:type="band1Horz">
      <w:tblPr/>
      <w:tcPr>
        <w:tcBorders>
          <w:top w:color="5b9bd5" w:space="0" w:sz="8" w:val="single"/>
          <w:left w:color="5b9bd5" w:space="0" w:sz="8" w:val="single"/>
          <w:bottom w:color="5b9bd5" w:space="0" w:sz="8" w:val="single"/>
          <w:right w:color="5b9bd5" w:space="0" w:sz="8" w:val="single"/>
        </w:tcBorders>
      </w:tcPr>
    </w:tblStylePr>
  </w:style>
  <w:style w:type="table" w:styleId="a0" w:customStyle="1">
    <w:basedOn w:val="Tabla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table" w:styleId="a1" w:customStyle="1">
    <w:basedOn w:val="Tabla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table" w:styleId="a2" w:customStyle="1">
    <w:basedOn w:val="Tabla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table" w:styleId="a3" w:customStyle="1">
    <w:basedOn w:val="Tablanormal"/>
    <w:rPr>
      <w:sz w:val="22"/>
      <w:szCs w:val="22"/>
    </w:rPr>
    <w:tblPr>
      <w:tblStyleRowBandSize w:val="1"/>
      <w:tblStyleColBandSize w:val="1"/>
    </w:tblPr>
    <w:tblStylePr w:type="firstRow">
      <w:pPr>
        <w:spacing w:after="0" w:before="0" w:line="240" w:lineRule="auto"/>
      </w:pPr>
      <w:rPr>
        <w:b w:val="1"/>
        <w:color w:val="ffffff"/>
      </w:rPr>
      <w:tblPr/>
      <w:tcPr>
        <w:tcBorders>
          <w:top w:color="84b4df" w:space="0" w:sz="8" w:val="single"/>
          <w:left w:color="84b4df" w:space="0" w:sz="8" w:val="single"/>
          <w:bottom w:color="84b4df" w:space="0" w:sz="8" w:val="single"/>
          <w:right w:color="84b4df" w:space="0" w:sz="8" w:val="single"/>
          <w:insideH w:space="0" w:sz="0" w:val="nil"/>
          <w:insideV w:space="0" w:sz="0" w:val="nil"/>
        </w:tcBorders>
        <w:shd w:color="auto" w:fill="5b9bd5" w:val="clear"/>
      </w:tcPr>
    </w:tblStylePr>
    <w:tblStylePr w:type="lastRow">
      <w:pPr>
        <w:spacing w:after="0" w:before="0" w:line="240" w:lineRule="auto"/>
      </w:pPr>
      <w:rPr>
        <w:b w:val="1"/>
      </w:rPr>
      <w:tblPr/>
      <w:tcPr>
        <w:tcBorders>
          <w:top w:color="84b4df" w:space="0" w:sz="6" w:val="single"/>
          <w:left w:color="84b4df" w:space="0" w:sz="8" w:val="single"/>
          <w:bottom w:color="84b4df" w:space="0" w:sz="8" w:val="single"/>
          <w:right w:color="84b4df" w:space="0" w:sz="8" w:val="single"/>
          <w:insideH w:space="0" w:sz="0" w:val="nil"/>
          <w:insideV w:space="0" w:sz="0" w:val="nil"/>
        </w:tcBorders>
      </w:tcPr>
    </w:tblStylePr>
    <w:tblStylePr w:type="firstCol">
      <w:rPr>
        <w:b w:val="1"/>
      </w:rPr>
    </w:tblStylePr>
    <w:tblStylePr w:type="lastCol">
      <w:rPr>
        <w:b w:val="1"/>
      </w:rPr>
    </w:tblStylePr>
    <w:tblStylePr w:type="band1Vert">
      <w:tblPr/>
      <w:tcPr>
        <w:shd w:color="auto" w:fill="d6e6f4" w:val="clear"/>
      </w:tcPr>
    </w:tblStylePr>
    <w:tblStylePr w:type="band1Horz">
      <w:tblPr/>
      <w:tcPr>
        <w:tcBorders>
          <w:insideH w:space="0" w:sz="0" w:val="nil"/>
          <w:insideV w:space="0" w:sz="0" w:val="nil"/>
        </w:tcBorders>
        <w:shd w:color="auto" w:fill="d6e6f4" w:val="clear"/>
      </w:tcPr>
    </w:tblStylePr>
    <w:tblStylePr w:type="band2Horz">
      <w:tblPr/>
      <w:tcPr>
        <w:tcBorders>
          <w:insideH w:space="0" w:sz="0" w:val="nil"/>
          <w:insideV w:space="0" w:sz="0" w:val="nil"/>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7.jp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Comfortaa-regular.ttf"/><Relationship Id="rId6" Type="http://schemas.openxmlformats.org/officeDocument/2006/relationships/font" Target="fonts/Comfortaa-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7.jpg"/><Relationship Id="rId2"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Shn3mvebh5xCyyzJ5rKBFvGo6A==">CgMxLjAyDmgub2E3cXlhaGg4eWNlMghoLmdqZGd4czIOaC5yZ3JoM2Ezb3I5dW04AHIhMWlpcW5kRVQzcXdyUWlDVWlVd1kwWGZZdEVDcnIyWHhO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2024-05-31T18:52:00Z</dcterms:created>
  <dc:creator>Paul Harrison</dc:creator>
</cp:coreProperties>
</file>